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239F6">
      <w:pPr>
        <w:pStyle w:val="4"/>
        <w:pageBreakBefore w:val="0"/>
        <w:widowControl w:val="0"/>
        <w:numPr>
          <w:ilvl w:val="1"/>
          <w:numId w:val="0"/>
        </w:numPr>
        <w:kinsoku/>
        <w:wordWrap/>
        <w:overflowPunct/>
        <w:topLinePunct w:val="0"/>
        <w:autoSpaceDE/>
        <w:autoSpaceDN/>
        <w:bidi w:val="0"/>
        <w:adjustRightInd/>
        <w:spacing w:before="120" w:after="120" w:line="560" w:lineRule="exact"/>
        <w:ind w:leftChars="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bookmarkStart w:id="0" w:name="_Toc196917535"/>
      <w:r>
        <w:rPr>
          <w:rFonts w:hint="eastAsia" w:ascii="宋体" w:hAnsi="宋体" w:eastAsia="宋体" w:cs="宋体"/>
          <w:b/>
          <w:bCs/>
          <w:color w:val="000000" w:themeColor="text1"/>
          <w:sz w:val="24"/>
          <w:szCs w:val="24"/>
          <w:lang w:val="en-US" w:eastAsia="zh-CN"/>
          <w14:textFill>
            <w14:solidFill>
              <w14:schemeClr w14:val="tx1"/>
            </w14:solidFill>
          </w14:textFill>
        </w:rPr>
        <w:t>附件</w:t>
      </w:r>
    </w:p>
    <w:p w14:paraId="6DF10174">
      <w:pPr>
        <w:pStyle w:val="4"/>
        <w:pageBreakBefore w:val="0"/>
        <w:widowControl w:val="0"/>
        <w:numPr>
          <w:ilvl w:val="1"/>
          <w:numId w:val="0"/>
        </w:numPr>
        <w:kinsoku/>
        <w:wordWrap/>
        <w:overflowPunct/>
        <w:topLinePunct w:val="0"/>
        <w:autoSpaceDE/>
        <w:autoSpaceDN/>
        <w:bidi w:val="0"/>
        <w:adjustRightInd/>
        <w:spacing w:before="120" w:after="120" w:line="560" w:lineRule="exact"/>
        <w:ind w:leftChars="0"/>
        <w:jc w:val="center"/>
        <w:textAlignment w:val="auto"/>
        <w:rPr>
          <w:rFonts w:hint="default" w:ascii="宋体" w:hAnsi="宋体" w:eastAsia="宋体" w:cs="宋体"/>
          <w:b/>
          <w:bCs/>
          <w:color w:val="000000" w:themeColor="text1"/>
          <w:sz w:val="30"/>
          <w:szCs w:val="30"/>
          <w:lang w:val="en-US" w:eastAsia="zh-CN"/>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微信公众号运维服务范围</w:t>
      </w:r>
      <w:bookmarkEnd w:id="0"/>
      <w:r>
        <w:rPr>
          <w:rFonts w:hint="eastAsia" w:ascii="宋体" w:hAnsi="宋体" w:eastAsia="宋体" w:cs="宋体"/>
          <w:b/>
          <w:bCs/>
          <w:color w:val="000000" w:themeColor="text1"/>
          <w:sz w:val="30"/>
          <w:szCs w:val="30"/>
          <w:lang w:val="en-US" w:eastAsia="zh-CN"/>
          <w14:textFill>
            <w14:solidFill>
              <w14:schemeClr w14:val="tx1"/>
            </w14:solidFill>
          </w14:textFill>
        </w:rPr>
        <w:t>、内容与标准</w:t>
      </w:r>
      <w:bookmarkStart w:id="7" w:name="_GoBack"/>
      <w:bookmarkEnd w:id="7"/>
    </w:p>
    <w:p w14:paraId="04888736">
      <w:pPr>
        <w:rPr>
          <w:rFonts w:hint="eastAsia"/>
          <w:lang w:val="en-US" w:eastAsia="zh-CN"/>
        </w:rPr>
      </w:pPr>
    </w:p>
    <w:p w14:paraId="1B126362">
      <w:pPr>
        <w:keepNext w:val="0"/>
        <w:keepLines w:val="0"/>
        <w:pageBreakBefore w:val="0"/>
        <w:widowControl w:val="0"/>
        <w:kinsoku/>
        <w:wordWrap/>
        <w:overflowPunct/>
        <w:topLinePunct w:val="0"/>
        <w:autoSpaceDE/>
        <w:autoSpaceDN/>
        <w:bidi w:val="0"/>
        <w:adjustRightInd/>
        <w:snapToGrid/>
        <w:spacing w:line="560" w:lineRule="exact"/>
        <w:ind w:left="0"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一、服务范围</w:t>
      </w:r>
    </w:p>
    <w:p w14:paraId="53D861CE">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对医院现有的微信公众号就医便民服务平台提供维护服务，主要涉及如下</w:t>
      </w:r>
      <w:r>
        <w:rPr>
          <w:rFonts w:hint="eastAsia" w:ascii="宋体" w:hAnsi="宋体" w:eastAsia="宋体" w:cs="宋体"/>
          <w:sz w:val="24"/>
          <w:szCs w:val="24"/>
          <w:lang w:val="en-US" w:eastAsia="zh-CN"/>
        </w:rPr>
        <w:t>功能模块</w:t>
      </w:r>
      <w:r>
        <w:rPr>
          <w:rFonts w:hint="eastAsia" w:ascii="宋体" w:hAnsi="宋体" w:eastAsia="宋体" w:cs="宋体"/>
          <w:sz w:val="24"/>
          <w:szCs w:val="24"/>
        </w:rPr>
        <w:t>：</w:t>
      </w:r>
    </w:p>
    <w:tbl>
      <w:tblPr>
        <w:tblStyle w:val="20"/>
        <w:tblW w:w="46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2182"/>
        <w:gridCol w:w="2514"/>
        <w:gridCol w:w="2495"/>
      </w:tblGrid>
      <w:tr w14:paraId="2311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79EFD283">
            <w:pPr>
              <w:pageBreakBefore w:val="0"/>
              <w:widowControl w:val="0"/>
              <w:kinsoku/>
              <w:wordWrap/>
              <w:overflowPunct/>
              <w:topLinePunct w:val="0"/>
              <w:autoSpaceDE/>
              <w:autoSpaceDN/>
              <w:bidi w:val="0"/>
              <w:adjustRightInd/>
              <w:spacing w:line="560" w:lineRule="exact"/>
              <w:ind w:firstLine="0" w:firstLineChars="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1379" w:type="pct"/>
            <w:vAlign w:val="center"/>
          </w:tcPr>
          <w:p w14:paraId="4766FABD">
            <w:pPr>
              <w:pageBreakBefore w:val="0"/>
              <w:widowControl w:val="0"/>
              <w:kinsoku/>
              <w:wordWrap/>
              <w:overflowPunct/>
              <w:topLinePunct w:val="0"/>
              <w:autoSpaceDE/>
              <w:autoSpaceDN/>
              <w:bidi w:val="0"/>
              <w:adjustRightInd/>
              <w:spacing w:line="560" w:lineRule="exact"/>
              <w:ind w:firstLine="0" w:firstLineChars="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系统</w:t>
            </w:r>
          </w:p>
        </w:tc>
        <w:tc>
          <w:tcPr>
            <w:tcW w:w="1589" w:type="pct"/>
            <w:vAlign w:val="center"/>
          </w:tcPr>
          <w:p w14:paraId="54ADEED7">
            <w:pPr>
              <w:pageBreakBefore w:val="0"/>
              <w:widowControl w:val="0"/>
              <w:kinsoku/>
              <w:wordWrap/>
              <w:overflowPunct/>
              <w:topLinePunct w:val="0"/>
              <w:autoSpaceDE/>
              <w:autoSpaceDN/>
              <w:bidi w:val="0"/>
              <w:adjustRightInd/>
              <w:spacing w:line="560" w:lineRule="exact"/>
              <w:ind w:firstLine="0" w:firstLineChars="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功能模块</w:t>
            </w:r>
          </w:p>
        </w:tc>
        <w:tc>
          <w:tcPr>
            <w:tcW w:w="1577" w:type="pct"/>
            <w:vAlign w:val="center"/>
          </w:tcPr>
          <w:p w14:paraId="2FB08CAB">
            <w:pPr>
              <w:pageBreakBefore w:val="0"/>
              <w:widowControl w:val="0"/>
              <w:kinsoku/>
              <w:wordWrap/>
              <w:overflowPunct/>
              <w:topLinePunct w:val="0"/>
              <w:autoSpaceDE/>
              <w:autoSpaceDN/>
              <w:bidi w:val="0"/>
              <w:adjustRightInd/>
              <w:spacing w:line="560" w:lineRule="exact"/>
              <w:ind w:firstLine="0" w:firstLineChars="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覆盖范围</w:t>
            </w:r>
          </w:p>
        </w:tc>
      </w:tr>
      <w:tr w14:paraId="3227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53" w:type="pct"/>
            <w:vAlign w:val="center"/>
          </w:tcPr>
          <w:p w14:paraId="5B1B8D69">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1</w:t>
            </w:r>
          </w:p>
        </w:tc>
        <w:tc>
          <w:tcPr>
            <w:tcW w:w="1379" w:type="pct"/>
            <w:vAlign w:val="center"/>
          </w:tcPr>
          <w:p w14:paraId="49A08651">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2E4D9C0E">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挂号服务</w:t>
            </w:r>
          </w:p>
        </w:tc>
        <w:tc>
          <w:tcPr>
            <w:tcW w:w="1577" w:type="pct"/>
            <w:vAlign w:val="center"/>
          </w:tcPr>
          <w:p w14:paraId="72689BA0">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1B2B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27071AEB">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2</w:t>
            </w:r>
          </w:p>
        </w:tc>
        <w:tc>
          <w:tcPr>
            <w:tcW w:w="1379" w:type="pct"/>
            <w:vAlign w:val="center"/>
          </w:tcPr>
          <w:p w14:paraId="64B738BB">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640842EF">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在线支付</w:t>
            </w:r>
          </w:p>
        </w:tc>
        <w:tc>
          <w:tcPr>
            <w:tcW w:w="1577" w:type="pct"/>
            <w:vAlign w:val="center"/>
          </w:tcPr>
          <w:p w14:paraId="2BFCC555">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2A2A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405EED67">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3</w:t>
            </w:r>
          </w:p>
        </w:tc>
        <w:tc>
          <w:tcPr>
            <w:tcW w:w="1379" w:type="pct"/>
            <w:vAlign w:val="center"/>
          </w:tcPr>
          <w:p w14:paraId="1BB9B85F">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3EE2E104">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医保移动支付</w:t>
            </w:r>
          </w:p>
        </w:tc>
        <w:tc>
          <w:tcPr>
            <w:tcW w:w="1577" w:type="pct"/>
            <w:vAlign w:val="center"/>
          </w:tcPr>
          <w:p w14:paraId="20DF1B64">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522CA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53" w:type="pct"/>
            <w:vAlign w:val="center"/>
          </w:tcPr>
          <w:p w14:paraId="6185B0AE">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4</w:t>
            </w:r>
          </w:p>
        </w:tc>
        <w:tc>
          <w:tcPr>
            <w:tcW w:w="1379" w:type="pct"/>
            <w:vAlign w:val="center"/>
          </w:tcPr>
          <w:p w14:paraId="5405F05E">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02E3319A">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检验检查报告</w:t>
            </w:r>
          </w:p>
        </w:tc>
        <w:tc>
          <w:tcPr>
            <w:tcW w:w="1577" w:type="pct"/>
            <w:vAlign w:val="center"/>
          </w:tcPr>
          <w:p w14:paraId="60F28030">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53BD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162F3A33">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5</w:t>
            </w:r>
          </w:p>
        </w:tc>
        <w:tc>
          <w:tcPr>
            <w:tcW w:w="1379" w:type="pct"/>
            <w:vAlign w:val="center"/>
          </w:tcPr>
          <w:p w14:paraId="0464C5AE">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29004A80">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排队叫号</w:t>
            </w:r>
          </w:p>
        </w:tc>
        <w:tc>
          <w:tcPr>
            <w:tcW w:w="1577" w:type="pct"/>
            <w:vAlign w:val="center"/>
          </w:tcPr>
          <w:p w14:paraId="0B36E360">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0F27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1771D069">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6</w:t>
            </w:r>
          </w:p>
        </w:tc>
        <w:tc>
          <w:tcPr>
            <w:tcW w:w="1379" w:type="pct"/>
            <w:vAlign w:val="center"/>
          </w:tcPr>
          <w:p w14:paraId="500118D7">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5522DB7A">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电子健康卡</w:t>
            </w:r>
          </w:p>
        </w:tc>
        <w:tc>
          <w:tcPr>
            <w:tcW w:w="1577" w:type="pct"/>
            <w:vAlign w:val="center"/>
          </w:tcPr>
          <w:p w14:paraId="354ABC53">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6926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1D2B0721">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7</w:t>
            </w:r>
          </w:p>
        </w:tc>
        <w:tc>
          <w:tcPr>
            <w:tcW w:w="1379" w:type="pct"/>
            <w:vAlign w:val="center"/>
          </w:tcPr>
          <w:p w14:paraId="75DBD5AA">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0DA0C336">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就诊人管理</w:t>
            </w:r>
          </w:p>
        </w:tc>
        <w:tc>
          <w:tcPr>
            <w:tcW w:w="1577" w:type="pct"/>
            <w:vAlign w:val="center"/>
          </w:tcPr>
          <w:p w14:paraId="6B6DAA2F">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1EA8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7BD78CC5">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8</w:t>
            </w:r>
          </w:p>
        </w:tc>
        <w:tc>
          <w:tcPr>
            <w:tcW w:w="1379" w:type="pct"/>
            <w:vAlign w:val="center"/>
          </w:tcPr>
          <w:p w14:paraId="1CD3CA3A">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0401E4E5">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我的订单</w:t>
            </w:r>
          </w:p>
        </w:tc>
        <w:tc>
          <w:tcPr>
            <w:tcW w:w="1577" w:type="pct"/>
            <w:vAlign w:val="center"/>
          </w:tcPr>
          <w:p w14:paraId="57B6E627">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7852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3A725E75">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9</w:t>
            </w:r>
          </w:p>
        </w:tc>
        <w:tc>
          <w:tcPr>
            <w:tcW w:w="1379" w:type="pct"/>
            <w:vAlign w:val="center"/>
          </w:tcPr>
          <w:p w14:paraId="69BF6DB8">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6FE12A78">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线上就医评价</w:t>
            </w:r>
          </w:p>
        </w:tc>
        <w:tc>
          <w:tcPr>
            <w:tcW w:w="1577" w:type="pct"/>
            <w:vAlign w:val="center"/>
          </w:tcPr>
          <w:p w14:paraId="2C273CC0">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0773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08A0C373">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10</w:t>
            </w:r>
          </w:p>
        </w:tc>
        <w:tc>
          <w:tcPr>
            <w:tcW w:w="1379" w:type="pct"/>
            <w:vAlign w:val="center"/>
          </w:tcPr>
          <w:p w14:paraId="5C3B5F48">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6CC3298A">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健康资讯</w:t>
            </w:r>
          </w:p>
        </w:tc>
        <w:tc>
          <w:tcPr>
            <w:tcW w:w="1577" w:type="pct"/>
            <w:vAlign w:val="center"/>
          </w:tcPr>
          <w:p w14:paraId="161D91EA">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1C5B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61286DFF">
            <w:pPr>
              <w:pStyle w:val="37"/>
              <w:pageBreakBefore w:val="0"/>
              <w:widowControl w:val="0"/>
              <w:numPr>
                <w:ilvl w:val="0"/>
                <w:numId w:val="0"/>
              </w:numPr>
              <w:kinsoku/>
              <w:wordWrap/>
              <w:overflowPunct/>
              <w:topLinePunct w:val="0"/>
              <w:autoSpaceDE/>
              <w:autoSpaceDN/>
              <w:bidi w:val="0"/>
              <w:adjustRightInd/>
              <w:spacing w:line="560" w:lineRule="exact"/>
              <w:ind w:left="0" w:leftChars="0" w:firstLine="0" w:firstLineChars="0"/>
              <w:contextualSpacing w:val="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14:ligatures w14:val="none"/>
              </w:rPr>
              <w:t>11</w:t>
            </w:r>
          </w:p>
        </w:tc>
        <w:tc>
          <w:tcPr>
            <w:tcW w:w="1379" w:type="pct"/>
            <w:vAlign w:val="center"/>
          </w:tcPr>
          <w:p w14:paraId="0910F328">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6A4CE898">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实名认证（人脸识别）</w:t>
            </w:r>
          </w:p>
        </w:tc>
        <w:tc>
          <w:tcPr>
            <w:tcW w:w="1577" w:type="pct"/>
            <w:vAlign w:val="center"/>
          </w:tcPr>
          <w:p w14:paraId="23840FB9">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r w14:paraId="30E7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453" w:type="pct"/>
            <w:vAlign w:val="center"/>
          </w:tcPr>
          <w:p w14:paraId="6CEFD49F">
            <w:pPr>
              <w:pStyle w:val="37"/>
              <w:pageBreakBefore w:val="0"/>
              <w:widowControl w:val="0"/>
              <w:numPr>
                <w:ilvl w:val="0"/>
                <w:numId w:val="0"/>
              </w:numPr>
              <w:kinsoku/>
              <w:wordWrap/>
              <w:overflowPunct/>
              <w:topLinePunct w:val="0"/>
              <w:autoSpaceDE/>
              <w:autoSpaceDN/>
              <w:bidi w:val="0"/>
              <w:adjustRightInd/>
              <w:spacing w:line="560" w:lineRule="exact"/>
              <w:ind w:leftChars="0"/>
              <w:contextualSpacing w:val="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1379" w:type="pct"/>
            <w:vAlign w:val="center"/>
          </w:tcPr>
          <w:p w14:paraId="3339CE84">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就医便民服务平台</w:t>
            </w:r>
          </w:p>
        </w:tc>
        <w:tc>
          <w:tcPr>
            <w:tcW w:w="1589" w:type="pct"/>
            <w:vAlign w:val="center"/>
          </w:tcPr>
          <w:p w14:paraId="4BB47E76">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对接蒙速办融合平台</w:t>
            </w:r>
          </w:p>
        </w:tc>
        <w:tc>
          <w:tcPr>
            <w:tcW w:w="1577" w:type="pct"/>
            <w:vAlign w:val="center"/>
          </w:tcPr>
          <w:p w14:paraId="66644CE8">
            <w:pPr>
              <w:pageBreakBefore w:val="0"/>
              <w:widowControl w:val="0"/>
              <w:kinsoku/>
              <w:wordWrap/>
              <w:overflowPunct/>
              <w:topLinePunct w:val="0"/>
              <w:autoSpaceDE/>
              <w:autoSpaceDN/>
              <w:bidi w:val="0"/>
              <w:adjustRightInd/>
              <w:spacing w:line="560" w:lineRule="exact"/>
              <w:ind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呼和浩特市第一医院</w:t>
            </w:r>
          </w:p>
        </w:tc>
      </w:tr>
    </w:tbl>
    <w:p w14:paraId="7FAF6DB4">
      <w:pPr>
        <w:keepNext w:val="0"/>
        <w:keepLines w:val="0"/>
        <w:pageBreakBefore w:val="0"/>
        <w:widowControl w:val="0"/>
        <w:kinsoku/>
        <w:wordWrap/>
        <w:overflowPunct/>
        <w:topLinePunct w:val="0"/>
        <w:autoSpaceDE/>
        <w:autoSpaceDN/>
        <w:bidi w:val="0"/>
        <w:adjustRightInd/>
        <w:snapToGrid/>
        <w:spacing w:line="560" w:lineRule="exact"/>
        <w:ind w:left="0" w:leftChars="0" w:firstLine="482" w:firstLineChars="200"/>
        <w:textAlignment w:val="auto"/>
        <w:rPr>
          <w:rFonts w:hint="eastAsia" w:ascii="宋体" w:hAnsi="宋体" w:eastAsia="宋体" w:cs="宋体"/>
          <w:b/>
          <w:bCs/>
          <w:sz w:val="24"/>
          <w:szCs w:val="24"/>
          <w:lang w:val="en-US" w:eastAsia="zh-CN"/>
        </w:rPr>
      </w:pPr>
      <w:bookmarkStart w:id="1" w:name="_Toc196917537"/>
      <w:r>
        <w:rPr>
          <w:rFonts w:hint="eastAsia" w:ascii="宋体" w:hAnsi="宋体" w:eastAsia="宋体" w:cs="宋体"/>
          <w:b/>
          <w:bCs/>
          <w:sz w:val="24"/>
          <w:szCs w:val="24"/>
          <w:lang w:val="en-US" w:eastAsia="zh-CN"/>
        </w:rPr>
        <w:t>二、服务内容</w:t>
      </w:r>
      <w:bookmarkEnd w:id="1"/>
      <w:bookmarkStart w:id="2" w:name="_Toc196917538"/>
    </w:p>
    <w:p w14:paraId="0BEE2A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2" w:firstLineChars="20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（一）</w:t>
      </w:r>
      <w:r>
        <w:rPr>
          <w:rFonts w:hint="eastAsia" w:ascii="宋体" w:hAnsi="宋体" w:eastAsia="宋体" w:cs="宋体"/>
          <w:b/>
          <w:bCs/>
          <w:color w:val="000000" w:themeColor="text1"/>
          <w:sz w:val="24"/>
          <w:szCs w:val="24"/>
          <w14:textFill>
            <w14:solidFill>
              <w14:schemeClr w14:val="tx1"/>
            </w14:solidFill>
          </w14:textFill>
        </w:rPr>
        <w:t>云资源</w:t>
      </w:r>
      <w:bookmarkEnd w:id="2"/>
      <w:r>
        <w:rPr>
          <w:rFonts w:hint="eastAsia" w:ascii="宋体" w:hAnsi="宋体" w:eastAsia="宋体" w:cs="宋体"/>
          <w:b/>
          <w:bCs/>
          <w:color w:val="000000" w:themeColor="text1"/>
          <w:sz w:val="24"/>
          <w:szCs w:val="24"/>
          <w:lang w:val="en-US" w:eastAsia="zh-CN"/>
          <w14:textFill>
            <w14:solidFill>
              <w14:schemeClr w14:val="tx1"/>
            </w14:solidFill>
          </w14:textFill>
        </w:rPr>
        <w:t>服务</w:t>
      </w:r>
    </w:p>
    <w:p w14:paraId="13FA42B3">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供应商</w:t>
      </w:r>
      <w:r>
        <w:rPr>
          <w:rFonts w:hint="eastAsia" w:ascii="宋体" w:hAnsi="宋体" w:eastAsia="宋体" w:cs="宋体"/>
          <w:sz w:val="24"/>
          <w:szCs w:val="24"/>
        </w:rPr>
        <w:t>需要提供业务功能正常运行所需的网络资源，应包含云服务器资源，RDS数据库、BGP企业网络专线（300MB带宽）、负载均衡、CDN内容分发网络、NAT网关、云防火墙等。</w:t>
      </w:r>
    </w:p>
    <w:p w14:paraId="55E1BAC2">
      <w:pPr>
        <w:pStyle w:val="2"/>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应支持微信公众号就医便民服务平台基础服务例如预约、挂号、缴费、查询、患者注册的云服务资源。</w:t>
      </w:r>
    </w:p>
    <w:p w14:paraId="76543E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2" w:firstLineChars="200"/>
        <w:textAlignment w:val="auto"/>
        <w:rPr>
          <w:rFonts w:hint="eastAsia" w:ascii="宋体" w:hAnsi="宋体" w:eastAsia="宋体" w:cs="宋体"/>
          <w:b/>
          <w:bCs/>
          <w:color w:val="000000" w:themeColor="text1"/>
          <w:sz w:val="24"/>
          <w:szCs w:val="24"/>
          <w14:textFill>
            <w14:solidFill>
              <w14:schemeClr w14:val="tx1"/>
            </w14:solidFill>
          </w14:textFill>
        </w:rPr>
      </w:pPr>
      <w:bookmarkStart w:id="3" w:name="_Toc196917539"/>
      <w:r>
        <w:rPr>
          <w:rFonts w:hint="eastAsia" w:ascii="宋体" w:hAnsi="宋体" w:eastAsia="宋体" w:cs="宋体"/>
          <w:b/>
          <w:bCs/>
          <w:color w:val="000000" w:themeColor="text1"/>
          <w:sz w:val="24"/>
          <w:szCs w:val="24"/>
          <w:lang w:eastAsia="zh-CN"/>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二</w:t>
      </w:r>
      <w:r>
        <w:rPr>
          <w:rFonts w:hint="eastAsia" w:ascii="宋体" w:hAnsi="宋体" w:eastAsia="宋体" w:cs="宋体"/>
          <w:b/>
          <w:bCs/>
          <w:color w:val="000000" w:themeColor="text1"/>
          <w:sz w:val="24"/>
          <w:szCs w:val="24"/>
          <w:lang w:eastAsia="zh-CN"/>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技术运维</w:t>
      </w:r>
      <w:r>
        <w:rPr>
          <w:rFonts w:hint="eastAsia" w:ascii="宋体" w:hAnsi="宋体" w:eastAsia="宋体" w:cs="宋体"/>
          <w:b/>
          <w:bCs/>
          <w:color w:val="000000" w:themeColor="text1"/>
          <w:sz w:val="24"/>
          <w:szCs w:val="24"/>
          <w14:textFill>
            <w14:solidFill>
              <w14:schemeClr w14:val="tx1"/>
            </w14:solidFill>
          </w14:textFill>
        </w:rPr>
        <w:t>服务</w:t>
      </w:r>
      <w:bookmarkEnd w:id="3"/>
    </w:p>
    <w:p w14:paraId="16E3AD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2"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1.</w:t>
      </w:r>
      <w:r>
        <w:rPr>
          <w:rFonts w:hint="eastAsia" w:ascii="宋体" w:hAnsi="宋体" w:eastAsia="宋体" w:cs="宋体"/>
          <w:b/>
          <w:bCs/>
          <w:color w:val="000000" w:themeColor="text1"/>
          <w:sz w:val="24"/>
          <w:szCs w:val="24"/>
          <w14:textFill>
            <w14:solidFill>
              <w14:schemeClr w14:val="tx1"/>
            </w14:solidFill>
          </w14:textFill>
        </w:rPr>
        <w:t>远程日常巡检服务</w:t>
      </w:r>
    </w:p>
    <w:p w14:paraId="68BD1D6E">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（1）平台端日常巡检服务：应包括系统操作日志跟踪与处理，防护规则更新和调整，基线检查和修复工作。</w:t>
      </w:r>
    </w:p>
    <w:p w14:paraId="3A1EE95E">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（2）线上业务日常巡检服务：应包括在线监测业务接口、网络等异常情况并及时处理；对业务功能进行巡检测试，保障线上服务正常运行。</w:t>
      </w:r>
    </w:p>
    <w:p w14:paraId="6FB7D3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2"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w:t>
      </w:r>
      <w:r>
        <w:rPr>
          <w:rFonts w:hint="eastAsia" w:ascii="宋体" w:hAnsi="宋体" w:eastAsia="宋体" w:cs="宋体"/>
          <w:b/>
          <w:bCs/>
          <w:color w:val="000000" w:themeColor="text1"/>
          <w:sz w:val="24"/>
          <w:szCs w:val="24"/>
          <w14:textFill>
            <w14:solidFill>
              <w14:schemeClr w14:val="tx1"/>
            </w14:solidFill>
          </w14:textFill>
        </w:rPr>
        <w:t>远程安全防护</w:t>
      </w:r>
    </w:p>
    <w:p w14:paraId="442F56EA">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供应商</w:t>
      </w:r>
      <w:r>
        <w:rPr>
          <w:rFonts w:hint="eastAsia" w:ascii="宋体" w:hAnsi="宋体" w:eastAsia="宋体" w:cs="宋体"/>
          <w:sz w:val="24"/>
          <w:szCs w:val="24"/>
        </w:rPr>
        <w:t>需提供远程安全防护服务如下：</w:t>
      </w:r>
    </w:p>
    <w:p w14:paraId="36FF4655">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（1）平台漏洞管理和修复、安全告警处理、安全评测协助。</w:t>
      </w:r>
    </w:p>
    <w:p w14:paraId="7A3A04B7">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（2）软件正常运行所需的安全防护，如DDOS防护、边界防火墙、应用防火墙、安全中心（杀毒软件、态势感知和安全扫描）。</w:t>
      </w:r>
    </w:p>
    <w:p w14:paraId="1ED3D885">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（3）输出平台安全自检表、安全扫描自检报告、安全渗透自检报告。</w:t>
      </w:r>
    </w:p>
    <w:p w14:paraId="042118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2" w:firstLineChars="20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ascii="宋体" w:hAnsi="宋体" w:eastAsia="宋体" w:cs="宋体"/>
          <w:b/>
          <w:bCs/>
          <w:color w:val="000000" w:themeColor="text1"/>
          <w:sz w:val="24"/>
          <w:szCs w:val="24"/>
          <w14:textFill>
            <w14:solidFill>
              <w14:schemeClr w14:val="tx1"/>
            </w14:solidFill>
          </w14:textFill>
        </w:rPr>
        <w:t>软件故障排错</w:t>
      </w:r>
    </w:p>
    <w:p w14:paraId="04A57712">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包括平台故障纠错性维护</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线上业务报错</w:t>
      </w:r>
      <w:r>
        <w:rPr>
          <w:rFonts w:hint="eastAsia" w:cs="宋体"/>
          <w:sz w:val="24"/>
          <w:szCs w:val="24"/>
          <w:lang w:val="en-US" w:eastAsia="zh-CN"/>
        </w:rPr>
        <w:t>、</w:t>
      </w:r>
      <w:r>
        <w:rPr>
          <w:rFonts w:hint="eastAsia" w:ascii="宋体" w:hAnsi="宋体" w:eastAsia="宋体" w:cs="宋体"/>
          <w:sz w:val="24"/>
          <w:szCs w:val="24"/>
          <w:lang w:val="en-US" w:eastAsia="zh-CN"/>
        </w:rPr>
        <w:t>线上接口服务异常、平台网络故障</w:t>
      </w:r>
      <w:r>
        <w:rPr>
          <w:rFonts w:hint="eastAsia" w:cs="宋体"/>
          <w:sz w:val="24"/>
          <w:szCs w:val="24"/>
          <w:lang w:val="en-US" w:eastAsia="zh-CN"/>
        </w:rPr>
        <w:t>等</w:t>
      </w:r>
      <w:r>
        <w:rPr>
          <w:rFonts w:hint="eastAsia" w:ascii="宋体" w:hAnsi="宋体" w:eastAsia="宋体" w:cs="宋体"/>
          <w:sz w:val="24"/>
          <w:szCs w:val="24"/>
          <w:lang w:val="en-US" w:eastAsia="zh-CN"/>
        </w:rPr>
        <w:t>相关问题排查</w:t>
      </w:r>
      <w:r>
        <w:rPr>
          <w:rFonts w:hint="eastAsia" w:cs="宋体"/>
          <w:sz w:val="24"/>
          <w:szCs w:val="24"/>
          <w:lang w:val="en-US" w:eastAsia="zh-CN"/>
        </w:rPr>
        <w:t>处置</w:t>
      </w:r>
      <w:r>
        <w:rPr>
          <w:rFonts w:hint="eastAsia" w:ascii="宋体" w:hAnsi="宋体" w:eastAsia="宋体" w:cs="宋体"/>
          <w:sz w:val="24"/>
          <w:szCs w:val="24"/>
          <w:lang w:val="en-US" w:eastAsia="zh-CN"/>
        </w:rPr>
        <w:t>。</w:t>
      </w:r>
    </w:p>
    <w:p w14:paraId="5AD59CAB">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 xml:space="preserve">因医院使用者操作引起的系统故障，应提供平台报错日志及原因。 </w:t>
      </w:r>
    </w:p>
    <w:p w14:paraId="6B3F5793">
      <w:pPr>
        <w:keepNext w:val="0"/>
        <w:keepLines w:val="0"/>
        <w:pageBreakBefore w:val="0"/>
        <w:widowControl w:val="0"/>
        <w:kinsoku/>
        <w:wordWrap/>
        <w:overflowPunct/>
        <w:topLinePunct w:val="0"/>
        <w:autoSpaceDE/>
        <w:autoSpaceDN/>
        <w:bidi w:val="0"/>
        <w:adjustRightInd/>
        <w:snapToGrid/>
        <w:spacing w:line="560" w:lineRule="exact"/>
        <w:ind w:left="0" w:leftChars="0" w:firstLine="482" w:firstLineChars="200"/>
        <w:textAlignment w:val="auto"/>
        <w:rPr>
          <w:rFonts w:hint="eastAsia" w:ascii="宋体" w:hAnsi="宋体" w:eastAsia="宋体" w:cs="宋体"/>
          <w:b/>
          <w:bCs/>
          <w:sz w:val="24"/>
          <w:szCs w:val="24"/>
          <w:lang w:val="en-US" w:eastAsia="zh-CN"/>
        </w:rPr>
      </w:pPr>
      <w:bookmarkStart w:id="4" w:name="_Toc145592284"/>
      <w:bookmarkStart w:id="5" w:name="_Toc196917541"/>
      <w:bookmarkStart w:id="6" w:name="_Toc185517896"/>
      <w:r>
        <w:rPr>
          <w:rFonts w:hint="eastAsia" w:ascii="宋体" w:hAnsi="宋体" w:eastAsia="宋体" w:cs="宋体"/>
          <w:b/>
          <w:bCs/>
          <w:sz w:val="24"/>
          <w:szCs w:val="24"/>
          <w:lang w:val="en-US" w:eastAsia="zh-CN"/>
        </w:rPr>
        <w:t>三、服务</w:t>
      </w:r>
      <w:bookmarkEnd w:id="4"/>
      <w:bookmarkEnd w:id="5"/>
      <w:bookmarkEnd w:id="6"/>
      <w:r>
        <w:rPr>
          <w:rFonts w:hint="eastAsia" w:ascii="宋体" w:hAnsi="宋体" w:eastAsia="宋体" w:cs="宋体"/>
          <w:b/>
          <w:bCs/>
          <w:sz w:val="24"/>
          <w:szCs w:val="24"/>
          <w:lang w:val="en-US" w:eastAsia="zh-CN"/>
        </w:rPr>
        <w:t>标准</w:t>
      </w:r>
    </w:p>
    <w:p w14:paraId="780F8FF2">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通过远程维护方式提供技术支持，需提供5*8小时的技术支持电话、传真、EMAIL、在线支持等服务，解答软件系统应用中的各种问题。</w:t>
      </w:r>
    </w:p>
    <w:p w14:paraId="08122656">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在线服务：通过即时通信工具（如微信、邮件等</w:t>
      </w:r>
      <w:r>
        <w:rPr>
          <w:rFonts w:hint="eastAsia" w:ascii="宋体" w:hAnsi="宋体" w:eastAsia="宋体" w:cs="宋体"/>
          <w:sz w:val="24"/>
          <w:szCs w:val="24"/>
          <w:lang w:eastAsia="zh-CN"/>
        </w:rPr>
        <w:t>）</w:t>
      </w:r>
      <w:r>
        <w:rPr>
          <w:rFonts w:hint="eastAsia" w:ascii="宋体" w:hAnsi="宋体" w:eastAsia="宋体" w:cs="宋体"/>
          <w:sz w:val="24"/>
          <w:szCs w:val="24"/>
        </w:rPr>
        <w:t>提供提交问题、查询问题、解决问题的服务。</w:t>
      </w:r>
    </w:p>
    <w:p w14:paraId="3B55689D">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电话服务：通过电话解决问题的服务。</w:t>
      </w:r>
    </w:p>
    <w:p w14:paraId="569B31CA">
      <w:pPr>
        <w:pageBreakBefore w:val="0"/>
        <w:widowControl w:val="0"/>
        <w:kinsoku/>
        <w:wordWrap/>
        <w:overflowPunct/>
        <w:topLinePunct w:val="0"/>
        <w:autoSpaceDE/>
        <w:autoSpaceDN/>
        <w:bidi w:val="0"/>
        <w:adjustRightIn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远程服务：通过远程连接对微信公众号就医便民服务平台进行远程调试并解决问题的服务。</w:t>
      </w:r>
    </w:p>
    <w:p w14:paraId="01A35A45">
      <w:pPr>
        <w:pStyle w:val="2"/>
        <w:numPr>
          <w:ilvl w:val="0"/>
          <w:numId w:val="2"/>
        </w:numPr>
        <w:rPr>
          <w:rFonts w:hint="eastAsia" w:ascii="宋体" w:hAnsi="宋体" w:eastAsia="宋体" w:cs="宋体"/>
          <w:sz w:val="24"/>
          <w:szCs w:val="24"/>
          <w:lang w:eastAsia="zh-CN"/>
        </w:rPr>
      </w:pPr>
      <w:r>
        <w:rPr>
          <w:rFonts w:hint="eastAsia" w:ascii="宋体" w:hAnsi="宋体" w:eastAsia="宋体" w:cs="宋体"/>
          <w:sz w:val="24"/>
          <w:szCs w:val="24"/>
        </w:rPr>
        <w:t>供应商接到故障请求后，要求2小时内响应，</w:t>
      </w:r>
      <w:r>
        <w:rPr>
          <w:rFonts w:hint="eastAsia" w:ascii="宋体" w:hAnsi="宋体" w:eastAsia="宋体" w:cs="宋体"/>
          <w:sz w:val="24"/>
          <w:szCs w:val="24"/>
          <w:lang w:val="en-US" w:eastAsia="zh-CN"/>
        </w:rPr>
        <w:t>4小时内</w:t>
      </w:r>
      <w:r>
        <w:rPr>
          <w:rFonts w:hint="eastAsia" w:ascii="宋体" w:hAnsi="宋体" w:eastAsia="宋体" w:cs="宋体"/>
          <w:sz w:val="24"/>
          <w:szCs w:val="24"/>
        </w:rPr>
        <w:t>提供解决方案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并在24小时内修复，</w:t>
      </w:r>
      <w:r>
        <w:rPr>
          <w:rFonts w:hint="eastAsia" w:ascii="宋体" w:hAnsi="宋体" w:eastAsia="宋体" w:cs="宋体"/>
          <w:sz w:val="24"/>
          <w:szCs w:val="24"/>
        </w:rPr>
        <w:t>确保微信公众号就医便民服务平台7*24小时正常稳定运行</w:t>
      </w:r>
      <w:r>
        <w:rPr>
          <w:rFonts w:hint="eastAsia" w:ascii="宋体" w:hAnsi="宋体" w:eastAsia="宋体" w:cs="宋体"/>
          <w:sz w:val="24"/>
          <w:szCs w:val="24"/>
          <w:lang w:eastAsia="zh-CN"/>
        </w:rPr>
        <w:t>。</w:t>
      </w:r>
    </w:p>
    <w:p w14:paraId="55C1A1E6">
      <w:pPr>
        <w:pStyle w:val="2"/>
        <w:numPr>
          <w:ilvl w:val="0"/>
          <w:numId w:val="2"/>
        </w:numPr>
        <w:rPr>
          <w:rFonts w:hint="eastAsia" w:ascii="宋体" w:hAnsi="宋体" w:eastAsia="宋体" w:cs="宋体"/>
          <w:sz w:val="24"/>
          <w:szCs w:val="24"/>
          <w:lang w:eastAsia="zh-CN"/>
        </w:rPr>
      </w:pPr>
      <w:r>
        <w:rPr>
          <w:rFonts w:hint="eastAsia" w:ascii="宋体" w:hAnsi="宋体" w:eastAsia="宋体" w:cs="宋体"/>
          <w:sz w:val="24"/>
          <w:szCs w:val="24"/>
          <w:lang w:val="en-US" w:eastAsia="zh-CN"/>
        </w:rPr>
        <w:t>供应商应当做好服务记录并提交技术文档和维护报告。</w:t>
      </w:r>
    </w:p>
    <w:p w14:paraId="1989E96F">
      <w:pPr>
        <w:pStyle w:val="2"/>
        <w:rPr>
          <w:rFonts w:hint="eastAsia" w:ascii="宋体" w:hAnsi="宋体" w:eastAsia="宋体" w:cs="宋体"/>
          <w:sz w:val="24"/>
          <w:szCs w:val="24"/>
        </w:rPr>
      </w:pPr>
    </w:p>
    <w:p w14:paraId="1F7A9F5B">
      <w:pPr>
        <w:pageBreakBefore w:val="0"/>
        <w:widowControl w:val="0"/>
        <w:kinsoku/>
        <w:wordWrap/>
        <w:overflowPunct/>
        <w:topLinePunct w:val="0"/>
        <w:autoSpaceDE/>
        <w:autoSpaceDN/>
        <w:bidi w:val="0"/>
        <w:adjustRightInd/>
        <w:snapToGrid w:val="0"/>
        <w:spacing w:line="560" w:lineRule="exact"/>
        <w:ind w:firstLine="482"/>
        <w:textAlignment w:val="auto"/>
        <w:rPr>
          <w:rFonts w:hint="eastAsia" w:ascii="宋体" w:hAnsi="宋体" w:eastAsia="宋体" w:cs="宋体"/>
          <w:b/>
          <w:bCs/>
          <w:sz w:val="24"/>
          <w:szCs w:val="24"/>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DFPHei Std W5">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4810047"/>
    </w:sdtPr>
    <w:sdtEndPr>
      <w:rPr>
        <w:sz w:val="21"/>
        <w:szCs w:val="21"/>
      </w:rPr>
    </w:sdtEndPr>
    <w:sdtContent>
      <w:p w14:paraId="417DCE98">
        <w:pPr>
          <w:pStyle w:val="14"/>
          <w:ind w:firstLine="360"/>
          <w:jc w:val="center"/>
          <w:rPr>
            <w:rFonts w:hint="eastAsia"/>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II</w:t>
        </w:r>
        <w:r>
          <w:rPr>
            <w:sz w:val="21"/>
            <w:szCs w:val="21"/>
          </w:rPr>
          <w:fldChar w:fldCharType="end"/>
        </w:r>
        <w:r>
          <w:rPr>
            <w:sz w:val="21"/>
            <w:szCs w:val="21"/>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D97D8">
    <w:pPr>
      <w:pStyle w:val="14"/>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776202"/>
      <w:docPartObj>
        <w:docPartGallery w:val="autotext"/>
      </w:docPartObj>
    </w:sdtPr>
    <w:sdtEndPr>
      <w:rPr>
        <w:sz w:val="21"/>
        <w:szCs w:val="21"/>
      </w:rPr>
    </w:sdtEndPr>
    <w:sdtContent>
      <w:p w14:paraId="411E6A95">
        <w:pPr>
          <w:pStyle w:val="14"/>
          <w:ind w:firstLine="360"/>
          <w:jc w:val="center"/>
          <w:rPr>
            <w:rFonts w:hint="eastAsia"/>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98DA6">
    <w:pPr>
      <w:pStyle w:val="15"/>
      <w:pBdr>
        <w:bottom w:val="none" w:color="auto" w:sz="0" w:space="1"/>
      </w:pBdr>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71DF">
    <w:pPr>
      <w:pStyle w:val="15"/>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355C">
    <w:pPr>
      <w:pStyle w:val="15"/>
      <w:ind w:firstLine="0" w:firstLineChars="0"/>
      <w:rPr>
        <w:rFonts w:hint="eastAsia"/>
        <w:sz w:val="21"/>
        <w:szCs w:val="21"/>
      </w:rPr>
    </w:pPr>
    <w:r>
      <w:rPr>
        <w:rFonts w:hint="eastAsia"/>
        <w:sz w:val="21"/>
        <w:szCs w:val="21"/>
      </w:rPr>
      <w:t>互联网医院/微信公众号运维项目招标参数及评分（标准版）V1.0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A9FC0F"/>
    <w:multiLevelType w:val="singleLevel"/>
    <w:tmpl w:val="9FA9FC0F"/>
    <w:lvl w:ilvl="0" w:tentative="0">
      <w:start w:val="2"/>
      <w:numFmt w:val="decimal"/>
      <w:lvlText w:val="%1."/>
      <w:lvlJc w:val="left"/>
      <w:pPr>
        <w:tabs>
          <w:tab w:val="left" w:pos="312"/>
        </w:tabs>
      </w:pPr>
    </w:lvl>
  </w:abstractNum>
  <w:abstractNum w:abstractNumId="1">
    <w:nsid w:val="15C55B0C"/>
    <w:multiLevelType w:val="multilevel"/>
    <w:tmpl w:val="15C55B0C"/>
    <w:lvl w:ilvl="0" w:tentative="0">
      <w:start w:val="1"/>
      <w:numFmt w:val="decimal"/>
      <w:pStyle w:val="3"/>
      <w:lvlText w:val="%1"/>
      <w:lvlJc w:val="left"/>
      <w:pPr>
        <w:ind w:left="432" w:hanging="432"/>
      </w:pPr>
    </w:lvl>
    <w:lvl w:ilvl="1" w:tentative="0">
      <w:start w:val="1"/>
      <w:numFmt w:val="decimal"/>
      <w:pStyle w:val="4"/>
      <w:lvlText w:val="%1.%2"/>
      <w:lvlJc w:val="left"/>
      <w:pPr>
        <w:ind w:left="576" w:hanging="576"/>
      </w:pPr>
    </w:lvl>
    <w:lvl w:ilvl="2" w:tentative="0">
      <w:start w:val="1"/>
      <w:numFmt w:val="decimal"/>
      <w:pStyle w:val="5"/>
      <w:lvlText w:val="%1.%2.%3"/>
      <w:lvlJc w:val="left"/>
      <w:pPr>
        <w:ind w:left="720" w:hanging="720"/>
      </w:pPr>
    </w:lvl>
    <w:lvl w:ilvl="3" w:tentative="0">
      <w:start w:val="1"/>
      <w:numFmt w:val="decimal"/>
      <w:pStyle w:val="6"/>
      <w:lvlText w:val="%1.%2.%3.%4"/>
      <w:lvlJc w:val="left"/>
      <w:pPr>
        <w:ind w:left="864" w:hanging="864"/>
      </w:pPr>
    </w:lvl>
    <w:lvl w:ilvl="4" w:tentative="0">
      <w:start w:val="1"/>
      <w:numFmt w:val="decimal"/>
      <w:pStyle w:val="7"/>
      <w:lvlText w:val="%1.%2.%3.%4.%5"/>
      <w:lvlJc w:val="left"/>
      <w:pPr>
        <w:ind w:left="1008" w:hanging="1008"/>
      </w:pPr>
    </w:lvl>
    <w:lvl w:ilvl="5" w:tentative="0">
      <w:start w:val="1"/>
      <w:numFmt w:val="decimal"/>
      <w:pStyle w:val="8"/>
      <w:lvlText w:val="%1.%2.%3.%4.%5.%6"/>
      <w:lvlJc w:val="left"/>
      <w:pPr>
        <w:ind w:left="1152" w:hanging="1152"/>
      </w:pPr>
    </w:lvl>
    <w:lvl w:ilvl="6" w:tentative="0">
      <w:start w:val="1"/>
      <w:numFmt w:val="decimal"/>
      <w:pStyle w:val="9"/>
      <w:lvlText w:val="%1.%2.%3.%4.%5.%6.%7"/>
      <w:lvlJc w:val="left"/>
      <w:pPr>
        <w:ind w:left="1296" w:hanging="1296"/>
      </w:pPr>
    </w:lvl>
    <w:lvl w:ilvl="7" w:tentative="0">
      <w:start w:val="1"/>
      <w:numFmt w:val="decimal"/>
      <w:pStyle w:val="10"/>
      <w:lvlText w:val="%1.%2.%3.%4.%5.%6.%7.%8"/>
      <w:lvlJc w:val="left"/>
      <w:pPr>
        <w:ind w:left="1440" w:hanging="1440"/>
      </w:pPr>
    </w:lvl>
    <w:lvl w:ilvl="8" w:tentative="0">
      <w:start w:val="1"/>
      <w:numFmt w:val="decimal"/>
      <w:pStyle w:val="11"/>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385"/>
    <w:rsid w:val="00013654"/>
    <w:rsid w:val="00031478"/>
    <w:rsid w:val="00031EBA"/>
    <w:rsid w:val="00065E3B"/>
    <w:rsid w:val="000D63FF"/>
    <w:rsid w:val="00110375"/>
    <w:rsid w:val="00112FC5"/>
    <w:rsid w:val="00146BE1"/>
    <w:rsid w:val="001741A6"/>
    <w:rsid w:val="00214620"/>
    <w:rsid w:val="00216D49"/>
    <w:rsid w:val="0022015B"/>
    <w:rsid w:val="00247CDF"/>
    <w:rsid w:val="0028307A"/>
    <w:rsid w:val="00286705"/>
    <w:rsid w:val="002F206C"/>
    <w:rsid w:val="003D2D8B"/>
    <w:rsid w:val="00443598"/>
    <w:rsid w:val="004720FA"/>
    <w:rsid w:val="004826F9"/>
    <w:rsid w:val="004A320A"/>
    <w:rsid w:val="004B0ABC"/>
    <w:rsid w:val="004E5C65"/>
    <w:rsid w:val="00501F41"/>
    <w:rsid w:val="00504A82"/>
    <w:rsid w:val="005274BA"/>
    <w:rsid w:val="00582CD4"/>
    <w:rsid w:val="005D40CA"/>
    <w:rsid w:val="005D74A7"/>
    <w:rsid w:val="005E134C"/>
    <w:rsid w:val="00657C68"/>
    <w:rsid w:val="00682DBD"/>
    <w:rsid w:val="006F49E8"/>
    <w:rsid w:val="00711C9B"/>
    <w:rsid w:val="00715385"/>
    <w:rsid w:val="00726F98"/>
    <w:rsid w:val="00745BEC"/>
    <w:rsid w:val="007847F3"/>
    <w:rsid w:val="007D08DF"/>
    <w:rsid w:val="00892126"/>
    <w:rsid w:val="0091192F"/>
    <w:rsid w:val="00933429"/>
    <w:rsid w:val="009A7B54"/>
    <w:rsid w:val="009D6BD0"/>
    <w:rsid w:val="00A10C60"/>
    <w:rsid w:val="00A12E3F"/>
    <w:rsid w:val="00A1376A"/>
    <w:rsid w:val="00A52942"/>
    <w:rsid w:val="00A735F2"/>
    <w:rsid w:val="00AA0C58"/>
    <w:rsid w:val="00AB38FB"/>
    <w:rsid w:val="00AF636E"/>
    <w:rsid w:val="00B81253"/>
    <w:rsid w:val="00B90DF0"/>
    <w:rsid w:val="00BC6871"/>
    <w:rsid w:val="00C518DE"/>
    <w:rsid w:val="00C619FC"/>
    <w:rsid w:val="00C77F07"/>
    <w:rsid w:val="00CE408F"/>
    <w:rsid w:val="00D3212F"/>
    <w:rsid w:val="00D6298B"/>
    <w:rsid w:val="00D726D0"/>
    <w:rsid w:val="00DB7510"/>
    <w:rsid w:val="00DC6C8B"/>
    <w:rsid w:val="00DD1CB2"/>
    <w:rsid w:val="00DF584A"/>
    <w:rsid w:val="00E7361F"/>
    <w:rsid w:val="00EA4FC4"/>
    <w:rsid w:val="00EA6A29"/>
    <w:rsid w:val="00F07AEE"/>
    <w:rsid w:val="00F324C5"/>
    <w:rsid w:val="00F4270D"/>
    <w:rsid w:val="01810503"/>
    <w:rsid w:val="025B5181"/>
    <w:rsid w:val="02FA5B72"/>
    <w:rsid w:val="03182BA3"/>
    <w:rsid w:val="041C0BEA"/>
    <w:rsid w:val="0469124B"/>
    <w:rsid w:val="04B55E47"/>
    <w:rsid w:val="04F46C31"/>
    <w:rsid w:val="05EF48CA"/>
    <w:rsid w:val="068560C3"/>
    <w:rsid w:val="068D41EC"/>
    <w:rsid w:val="07CE3ADB"/>
    <w:rsid w:val="08E04C1D"/>
    <w:rsid w:val="09223108"/>
    <w:rsid w:val="09ED18D7"/>
    <w:rsid w:val="0A0C438A"/>
    <w:rsid w:val="0A4C18F1"/>
    <w:rsid w:val="0AC24DB3"/>
    <w:rsid w:val="0B1F5D98"/>
    <w:rsid w:val="0B3F6E6A"/>
    <w:rsid w:val="0B565626"/>
    <w:rsid w:val="0C1B7A5B"/>
    <w:rsid w:val="0C506B43"/>
    <w:rsid w:val="0CB40DE6"/>
    <w:rsid w:val="0CE70D9D"/>
    <w:rsid w:val="0CE74AB8"/>
    <w:rsid w:val="0CE85DBD"/>
    <w:rsid w:val="0DD93BDF"/>
    <w:rsid w:val="0DE85960"/>
    <w:rsid w:val="0DED1DE7"/>
    <w:rsid w:val="0DF2626F"/>
    <w:rsid w:val="0E52758D"/>
    <w:rsid w:val="1027040D"/>
    <w:rsid w:val="104222BC"/>
    <w:rsid w:val="1059665E"/>
    <w:rsid w:val="10AC0666"/>
    <w:rsid w:val="10EB1450"/>
    <w:rsid w:val="12531C9B"/>
    <w:rsid w:val="12602461"/>
    <w:rsid w:val="14231F17"/>
    <w:rsid w:val="147A61A9"/>
    <w:rsid w:val="154D1654"/>
    <w:rsid w:val="15576A90"/>
    <w:rsid w:val="15B21729"/>
    <w:rsid w:val="15EB3A81"/>
    <w:rsid w:val="1716576D"/>
    <w:rsid w:val="173A24A9"/>
    <w:rsid w:val="180B0603"/>
    <w:rsid w:val="182949AD"/>
    <w:rsid w:val="182A1DB2"/>
    <w:rsid w:val="185A28FB"/>
    <w:rsid w:val="18B57797"/>
    <w:rsid w:val="1A5439C0"/>
    <w:rsid w:val="1AAE5354"/>
    <w:rsid w:val="1B101B75"/>
    <w:rsid w:val="1B107E06"/>
    <w:rsid w:val="1BFC4535"/>
    <w:rsid w:val="1C091D8D"/>
    <w:rsid w:val="1C340653"/>
    <w:rsid w:val="1CAF251B"/>
    <w:rsid w:val="1DC87107"/>
    <w:rsid w:val="1DE8351C"/>
    <w:rsid w:val="1ED0129B"/>
    <w:rsid w:val="1F1A6C93"/>
    <w:rsid w:val="1FB1638B"/>
    <w:rsid w:val="1FC240A7"/>
    <w:rsid w:val="206A094A"/>
    <w:rsid w:val="219552A7"/>
    <w:rsid w:val="21E914AE"/>
    <w:rsid w:val="22264B96"/>
    <w:rsid w:val="23A21B04"/>
    <w:rsid w:val="23E33466"/>
    <w:rsid w:val="24020C24"/>
    <w:rsid w:val="247B506A"/>
    <w:rsid w:val="24D02576"/>
    <w:rsid w:val="25120A61"/>
    <w:rsid w:val="2601616B"/>
    <w:rsid w:val="26234121"/>
    <w:rsid w:val="27BE1944"/>
    <w:rsid w:val="282729DD"/>
    <w:rsid w:val="288325A9"/>
    <w:rsid w:val="2AB6602E"/>
    <w:rsid w:val="2AD07FCD"/>
    <w:rsid w:val="2AF8590E"/>
    <w:rsid w:val="2BAD08B5"/>
    <w:rsid w:val="2C06004A"/>
    <w:rsid w:val="2C781282"/>
    <w:rsid w:val="2C796D04"/>
    <w:rsid w:val="2CD803A2"/>
    <w:rsid w:val="2CDC0FA6"/>
    <w:rsid w:val="2CF30486"/>
    <w:rsid w:val="2D0852EE"/>
    <w:rsid w:val="2D2626A0"/>
    <w:rsid w:val="2F735768"/>
    <w:rsid w:val="308577EB"/>
    <w:rsid w:val="30B360F4"/>
    <w:rsid w:val="31F9420D"/>
    <w:rsid w:val="32063522"/>
    <w:rsid w:val="333A261A"/>
    <w:rsid w:val="33C4261F"/>
    <w:rsid w:val="33D52499"/>
    <w:rsid w:val="34A727F1"/>
    <w:rsid w:val="3557388E"/>
    <w:rsid w:val="371066FA"/>
    <w:rsid w:val="3717386F"/>
    <w:rsid w:val="37342E1F"/>
    <w:rsid w:val="38957564"/>
    <w:rsid w:val="389B2048"/>
    <w:rsid w:val="38F60882"/>
    <w:rsid w:val="3936386A"/>
    <w:rsid w:val="3A0045B7"/>
    <w:rsid w:val="3B25439A"/>
    <w:rsid w:val="3D411665"/>
    <w:rsid w:val="3D4F6AA6"/>
    <w:rsid w:val="3D697A4C"/>
    <w:rsid w:val="3DB05C7A"/>
    <w:rsid w:val="3E541FD3"/>
    <w:rsid w:val="3F31011D"/>
    <w:rsid w:val="3F3570C3"/>
    <w:rsid w:val="3F410957"/>
    <w:rsid w:val="3F9E546D"/>
    <w:rsid w:val="3FFB2165"/>
    <w:rsid w:val="408112E3"/>
    <w:rsid w:val="40A37EE3"/>
    <w:rsid w:val="4204145F"/>
    <w:rsid w:val="420A7AE5"/>
    <w:rsid w:val="42752A18"/>
    <w:rsid w:val="42F454E4"/>
    <w:rsid w:val="435F0C7D"/>
    <w:rsid w:val="43C732BE"/>
    <w:rsid w:val="44973488"/>
    <w:rsid w:val="45516648"/>
    <w:rsid w:val="455E20DB"/>
    <w:rsid w:val="46E25ADA"/>
    <w:rsid w:val="46EE5867"/>
    <w:rsid w:val="47CB01AB"/>
    <w:rsid w:val="49917942"/>
    <w:rsid w:val="4A217C99"/>
    <w:rsid w:val="4B3756F4"/>
    <w:rsid w:val="4B652D40"/>
    <w:rsid w:val="4C7C7F92"/>
    <w:rsid w:val="4D14001F"/>
    <w:rsid w:val="4D5C53F9"/>
    <w:rsid w:val="4D632806"/>
    <w:rsid w:val="4E2C69CB"/>
    <w:rsid w:val="4E4740FD"/>
    <w:rsid w:val="4E7613C9"/>
    <w:rsid w:val="4E9563FB"/>
    <w:rsid w:val="51020906"/>
    <w:rsid w:val="51482F5B"/>
    <w:rsid w:val="52586AA6"/>
    <w:rsid w:val="52730954"/>
    <w:rsid w:val="52FD5859"/>
    <w:rsid w:val="53273C7B"/>
    <w:rsid w:val="53922E27"/>
    <w:rsid w:val="555A2916"/>
    <w:rsid w:val="55FB249F"/>
    <w:rsid w:val="56D133FC"/>
    <w:rsid w:val="56FE2FC7"/>
    <w:rsid w:val="57022DF5"/>
    <w:rsid w:val="571F34FB"/>
    <w:rsid w:val="58D915D3"/>
    <w:rsid w:val="5AAD1584"/>
    <w:rsid w:val="5AC6337D"/>
    <w:rsid w:val="5AE470AA"/>
    <w:rsid w:val="5BB70707"/>
    <w:rsid w:val="5C0F73B5"/>
    <w:rsid w:val="5C297741"/>
    <w:rsid w:val="5C864257"/>
    <w:rsid w:val="5CA73892"/>
    <w:rsid w:val="5D3C0503"/>
    <w:rsid w:val="5FC55E16"/>
    <w:rsid w:val="5FF73BFE"/>
    <w:rsid w:val="60FC5A2B"/>
    <w:rsid w:val="626A3683"/>
    <w:rsid w:val="62AA7CF0"/>
    <w:rsid w:val="64C94467"/>
    <w:rsid w:val="64D54889"/>
    <w:rsid w:val="66A562F6"/>
    <w:rsid w:val="68623CCE"/>
    <w:rsid w:val="6910780F"/>
    <w:rsid w:val="69407E39"/>
    <w:rsid w:val="699346E7"/>
    <w:rsid w:val="69CC6B23"/>
    <w:rsid w:val="69DB2D23"/>
    <w:rsid w:val="69E509F7"/>
    <w:rsid w:val="6B08757A"/>
    <w:rsid w:val="6BA16A62"/>
    <w:rsid w:val="6BF5742D"/>
    <w:rsid w:val="6C0F21D5"/>
    <w:rsid w:val="6C566E03"/>
    <w:rsid w:val="6DF23C2A"/>
    <w:rsid w:val="6E71413F"/>
    <w:rsid w:val="6F850583"/>
    <w:rsid w:val="6FFF696A"/>
    <w:rsid w:val="70531ED5"/>
    <w:rsid w:val="70792114"/>
    <w:rsid w:val="713502C9"/>
    <w:rsid w:val="71597204"/>
    <w:rsid w:val="72072820"/>
    <w:rsid w:val="73A225C1"/>
    <w:rsid w:val="73D00F12"/>
    <w:rsid w:val="74DA13C4"/>
    <w:rsid w:val="75A650F5"/>
    <w:rsid w:val="769C48A8"/>
    <w:rsid w:val="76A267B1"/>
    <w:rsid w:val="78165FF3"/>
    <w:rsid w:val="7A1D73D0"/>
    <w:rsid w:val="7A35088C"/>
    <w:rsid w:val="7A427BA1"/>
    <w:rsid w:val="7A6B0D66"/>
    <w:rsid w:val="7AA159BD"/>
    <w:rsid w:val="7B311A28"/>
    <w:rsid w:val="7BD75A39"/>
    <w:rsid w:val="7C222636"/>
    <w:rsid w:val="7C87365F"/>
    <w:rsid w:val="7DA008A8"/>
    <w:rsid w:val="7E6B1276"/>
    <w:rsid w:val="7F9441DB"/>
    <w:rsid w:val="7FCE3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semiHidden="0" w:name="heading 4"/>
    <w:lsdException w:qFormat="1" w:uiPriority="9" w:semiHidden="0" w:name="heading 5"/>
    <w:lsdException w:qFormat="1" w:uiPriority="9" w:semiHidden="0" w:name="heading 6"/>
    <w:lsdException w:qFormat="1" w:uiPriority="0"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360" w:lineRule="auto"/>
      <w:ind w:firstLine="480" w:firstLineChars="200"/>
      <w:jc w:val="both"/>
    </w:pPr>
    <w:rPr>
      <w:rFonts w:ascii="宋体" w:hAnsi="宋体" w:eastAsia="宋体" w:cstheme="minorBidi"/>
      <w:kern w:val="2"/>
      <w:sz w:val="24"/>
      <w:szCs w:val="32"/>
      <w:lang w:val="en-US" w:eastAsia="zh-CN" w:bidi="ar-SA"/>
      <w14:ligatures w14:val="none"/>
    </w:rPr>
  </w:style>
  <w:style w:type="paragraph" w:styleId="3">
    <w:name w:val="heading 1"/>
    <w:basedOn w:val="1"/>
    <w:next w:val="1"/>
    <w:link w:val="24"/>
    <w:qFormat/>
    <w:uiPriority w:val="9"/>
    <w:pPr>
      <w:keepNext/>
      <w:keepLines/>
      <w:numPr>
        <w:ilvl w:val="0"/>
        <w:numId w:val="1"/>
      </w:numPr>
      <w:spacing w:before="480" w:after="80"/>
      <w:ind w:firstLine="0" w:firstLineChars="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25"/>
    <w:unhideWhenUsed/>
    <w:qFormat/>
    <w:uiPriority w:val="9"/>
    <w:pPr>
      <w:keepNext/>
      <w:keepLines/>
      <w:numPr>
        <w:ilvl w:val="1"/>
        <w:numId w:val="1"/>
      </w:numPr>
      <w:spacing w:before="160" w:after="80"/>
      <w:ind w:firstLine="0" w:firstLineChars="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26"/>
    <w:unhideWhenUsed/>
    <w:qFormat/>
    <w:uiPriority w:val="9"/>
    <w:pPr>
      <w:keepNext/>
      <w:keepLines/>
      <w:numPr>
        <w:ilvl w:val="2"/>
        <w:numId w:val="1"/>
      </w:numPr>
      <w:spacing w:before="160" w:after="80"/>
      <w:ind w:firstLine="0" w:firstLineChars="0"/>
      <w:outlineLvl w:val="2"/>
    </w:pPr>
    <w:rPr>
      <w:rFonts w:asciiTheme="majorHAnsi" w:hAnsiTheme="majorHAnsi" w:eastAsiaTheme="majorEastAsia" w:cstheme="majorBidi"/>
      <w:color w:val="2F5597" w:themeColor="accent1" w:themeShade="BF"/>
      <w:sz w:val="32"/>
    </w:rPr>
  </w:style>
  <w:style w:type="paragraph" w:styleId="6">
    <w:name w:val="heading 4"/>
    <w:basedOn w:val="1"/>
    <w:next w:val="1"/>
    <w:link w:val="27"/>
    <w:unhideWhenUsed/>
    <w:qFormat/>
    <w:uiPriority w:val="0"/>
    <w:pPr>
      <w:keepNext/>
      <w:keepLines/>
      <w:numPr>
        <w:ilvl w:val="3"/>
        <w:numId w:val="1"/>
      </w:numPr>
      <w:spacing w:before="80" w:after="40"/>
      <w:ind w:firstLine="0" w:firstLineChars="0"/>
      <w:outlineLvl w:val="3"/>
    </w:pPr>
    <w:rPr>
      <w:rFonts w:cstheme="majorBidi"/>
      <w:color w:val="2F5597" w:themeColor="accent1" w:themeShade="BF"/>
      <w:sz w:val="28"/>
      <w:szCs w:val="28"/>
    </w:rPr>
  </w:style>
  <w:style w:type="paragraph" w:styleId="7">
    <w:name w:val="heading 5"/>
    <w:basedOn w:val="1"/>
    <w:next w:val="1"/>
    <w:link w:val="28"/>
    <w:unhideWhenUsed/>
    <w:qFormat/>
    <w:uiPriority w:val="9"/>
    <w:pPr>
      <w:keepNext/>
      <w:keepLines/>
      <w:numPr>
        <w:ilvl w:val="4"/>
        <w:numId w:val="1"/>
      </w:numPr>
      <w:spacing w:before="80" w:after="40"/>
      <w:outlineLvl w:val="4"/>
    </w:pPr>
    <w:rPr>
      <w:rFonts w:cstheme="majorBidi"/>
      <w:color w:val="2F5597" w:themeColor="accent1" w:themeShade="BF"/>
    </w:rPr>
  </w:style>
  <w:style w:type="paragraph" w:styleId="8">
    <w:name w:val="heading 6"/>
    <w:basedOn w:val="1"/>
    <w:next w:val="1"/>
    <w:link w:val="29"/>
    <w:unhideWhenUsed/>
    <w:qFormat/>
    <w:uiPriority w:val="9"/>
    <w:pPr>
      <w:keepNext/>
      <w:keepLines/>
      <w:numPr>
        <w:ilvl w:val="5"/>
        <w:numId w:val="1"/>
      </w:numPr>
      <w:spacing w:before="40"/>
      <w:outlineLvl w:val="5"/>
    </w:pPr>
    <w:rPr>
      <w:rFonts w:cstheme="majorBidi"/>
      <w:b/>
      <w:bCs/>
      <w:color w:val="2F5597" w:themeColor="accent1" w:themeShade="BF"/>
    </w:rPr>
  </w:style>
  <w:style w:type="paragraph" w:styleId="9">
    <w:name w:val="heading 7"/>
    <w:basedOn w:val="1"/>
    <w:next w:val="1"/>
    <w:link w:val="30"/>
    <w:unhideWhenUsed/>
    <w:qFormat/>
    <w:uiPriority w:val="0"/>
    <w:pPr>
      <w:keepNext/>
      <w:keepLines/>
      <w:numPr>
        <w:ilvl w:val="6"/>
        <w:numId w:val="1"/>
      </w:numPr>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1"/>
    <w:unhideWhenUsed/>
    <w:qFormat/>
    <w:uiPriority w:val="9"/>
    <w:pPr>
      <w:keepNext/>
      <w:keepLines/>
      <w:numPr>
        <w:ilvl w:val="7"/>
        <w:numId w:val="1"/>
      </w:numPr>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2"/>
    <w:semiHidden/>
    <w:unhideWhenUsed/>
    <w:qFormat/>
    <w:uiPriority w:val="9"/>
    <w:pPr>
      <w:keepNext/>
      <w:keepLines/>
      <w:numPr>
        <w:ilvl w:val="8"/>
        <w:numId w:val="1"/>
      </w:numPr>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44"/>
    <w:semiHidden/>
    <w:unhideWhenUsed/>
    <w:qFormat/>
    <w:uiPriority w:val="99"/>
    <w:pPr>
      <w:spacing w:after="120"/>
    </w:pPr>
  </w:style>
  <w:style w:type="paragraph" w:styleId="12">
    <w:name w:val="annotation text"/>
    <w:basedOn w:val="1"/>
    <w:link w:val="53"/>
    <w:semiHidden/>
    <w:unhideWhenUsed/>
    <w:qFormat/>
    <w:uiPriority w:val="99"/>
    <w:pPr>
      <w:spacing w:line="240" w:lineRule="auto"/>
      <w:ind w:firstLine="0" w:firstLineChars="0"/>
      <w:jc w:val="left"/>
    </w:pPr>
    <w:rPr>
      <w:rFonts w:ascii="Times New Roman" w:hAnsi="Times New Roman" w:cs="Times New Roman"/>
      <w:sz w:val="21"/>
      <w:szCs w:val="24"/>
    </w:rPr>
  </w:style>
  <w:style w:type="paragraph" w:styleId="13">
    <w:name w:val="toc 3"/>
    <w:basedOn w:val="1"/>
    <w:next w:val="1"/>
    <w:unhideWhenUsed/>
    <w:qFormat/>
    <w:uiPriority w:val="39"/>
    <w:pPr>
      <w:spacing w:before="120" w:after="120" w:line="240" w:lineRule="auto"/>
      <w:ind w:firstLine="400" w:firstLineChars="400"/>
      <w:jc w:val="left"/>
    </w:pPr>
    <w:rPr>
      <w:iCs/>
      <w:sz w:val="20"/>
      <w:szCs w:val="20"/>
    </w:rPr>
  </w:style>
  <w:style w:type="paragraph" w:styleId="14">
    <w:name w:val="footer"/>
    <w:basedOn w:val="1"/>
    <w:link w:val="42"/>
    <w:unhideWhenUsed/>
    <w:qFormat/>
    <w:uiPriority w:val="99"/>
    <w:pPr>
      <w:tabs>
        <w:tab w:val="center" w:pos="4153"/>
        <w:tab w:val="right" w:pos="8306"/>
      </w:tabs>
      <w:snapToGrid w:val="0"/>
      <w:spacing w:line="240" w:lineRule="auto"/>
      <w:jc w:val="left"/>
    </w:pPr>
    <w:rPr>
      <w:sz w:val="18"/>
      <w:szCs w:val="18"/>
    </w:rPr>
  </w:style>
  <w:style w:type="paragraph" w:styleId="15">
    <w:name w:val="header"/>
    <w:basedOn w:val="1"/>
    <w:link w:val="43"/>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pPr>
      <w:tabs>
        <w:tab w:val="right" w:leader="dot" w:pos="8290"/>
      </w:tabs>
      <w:spacing w:before="120" w:after="120" w:line="240" w:lineRule="auto"/>
      <w:ind w:firstLine="0" w:firstLineChars="0"/>
      <w:contextualSpacing/>
      <w:jc w:val="left"/>
    </w:pPr>
    <w:rPr>
      <w:b/>
      <w:bCs/>
      <w:caps/>
      <w:sz w:val="20"/>
      <w:szCs w:val="24"/>
    </w:rPr>
  </w:style>
  <w:style w:type="paragraph" w:styleId="17">
    <w:name w:val="Subtitle"/>
    <w:basedOn w:val="1"/>
    <w:next w:val="1"/>
    <w:link w:val="34"/>
    <w:qFormat/>
    <w:uiPriority w:val="11"/>
    <w:pPr>
      <w:ind w:firstLine="48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oc 2"/>
    <w:basedOn w:val="1"/>
    <w:next w:val="1"/>
    <w:unhideWhenUsed/>
    <w:qFormat/>
    <w:uiPriority w:val="39"/>
    <w:pPr>
      <w:spacing w:before="120" w:after="120" w:line="240" w:lineRule="auto"/>
      <w:ind w:firstLine="200"/>
      <w:jc w:val="left"/>
    </w:pPr>
    <w:rPr>
      <w:smallCaps/>
      <w:sz w:val="20"/>
      <w:szCs w:val="20"/>
    </w:rPr>
  </w:style>
  <w:style w:type="paragraph" w:styleId="19">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22">
    <w:name w:val="Hyperlink"/>
    <w:basedOn w:val="21"/>
    <w:unhideWhenUsed/>
    <w:qFormat/>
    <w:uiPriority w:val="99"/>
    <w:rPr>
      <w:color w:val="0563C1" w:themeColor="hyperlink"/>
      <w:u w:val="single"/>
      <w14:textFill>
        <w14:solidFill>
          <w14:schemeClr w14:val="hlink"/>
        </w14:solidFill>
      </w14:textFill>
    </w:rPr>
  </w:style>
  <w:style w:type="character" w:styleId="23">
    <w:name w:val="annotation reference"/>
    <w:basedOn w:val="21"/>
    <w:semiHidden/>
    <w:unhideWhenUsed/>
    <w:qFormat/>
    <w:uiPriority w:val="99"/>
    <w:rPr>
      <w:sz w:val="21"/>
      <w:szCs w:val="21"/>
    </w:rPr>
  </w:style>
  <w:style w:type="character" w:customStyle="1" w:styleId="24">
    <w:name w:val="标题 1 字符"/>
    <w:basedOn w:val="21"/>
    <w:link w:val="3"/>
    <w:qFormat/>
    <w:uiPriority w:val="9"/>
    <w:rPr>
      <w:rFonts w:asciiTheme="majorHAnsi" w:hAnsiTheme="majorHAnsi" w:eastAsiaTheme="majorEastAsia" w:cstheme="majorBidi"/>
      <w:color w:val="2F5597" w:themeColor="accent1" w:themeShade="BF"/>
      <w:sz w:val="48"/>
      <w:szCs w:val="48"/>
    </w:rPr>
  </w:style>
  <w:style w:type="character" w:customStyle="1" w:styleId="25">
    <w:name w:val="标题 2 字符"/>
    <w:basedOn w:val="21"/>
    <w:link w:val="4"/>
    <w:qFormat/>
    <w:uiPriority w:val="9"/>
    <w:rPr>
      <w:rFonts w:asciiTheme="majorHAnsi" w:hAnsiTheme="majorHAnsi" w:eastAsiaTheme="majorEastAsia" w:cstheme="majorBidi"/>
      <w:color w:val="2F5597" w:themeColor="accent1" w:themeShade="BF"/>
      <w:sz w:val="40"/>
      <w:szCs w:val="40"/>
    </w:rPr>
  </w:style>
  <w:style w:type="character" w:customStyle="1" w:styleId="26">
    <w:name w:val="标题 3 字符"/>
    <w:basedOn w:val="21"/>
    <w:link w:val="5"/>
    <w:qFormat/>
    <w:uiPriority w:val="9"/>
    <w:rPr>
      <w:rFonts w:asciiTheme="majorHAnsi" w:hAnsiTheme="majorHAnsi" w:eastAsiaTheme="majorEastAsia" w:cstheme="majorBidi"/>
      <w:color w:val="2F5597" w:themeColor="accent1" w:themeShade="BF"/>
      <w:sz w:val="32"/>
      <w:szCs w:val="32"/>
    </w:rPr>
  </w:style>
  <w:style w:type="character" w:customStyle="1" w:styleId="27">
    <w:name w:val="标题 4 字符"/>
    <w:basedOn w:val="21"/>
    <w:link w:val="6"/>
    <w:semiHidden/>
    <w:qFormat/>
    <w:uiPriority w:val="9"/>
    <w:rPr>
      <w:rFonts w:cstheme="majorBidi"/>
      <w:color w:val="2F5597" w:themeColor="accent1" w:themeShade="BF"/>
      <w:sz w:val="28"/>
      <w:szCs w:val="28"/>
    </w:rPr>
  </w:style>
  <w:style w:type="character" w:customStyle="1" w:styleId="28">
    <w:name w:val="标题 5 字符"/>
    <w:basedOn w:val="21"/>
    <w:link w:val="7"/>
    <w:semiHidden/>
    <w:qFormat/>
    <w:uiPriority w:val="9"/>
    <w:rPr>
      <w:rFonts w:cstheme="majorBidi"/>
      <w:color w:val="2F5597" w:themeColor="accent1" w:themeShade="BF"/>
      <w:sz w:val="24"/>
    </w:rPr>
  </w:style>
  <w:style w:type="character" w:customStyle="1" w:styleId="29">
    <w:name w:val="标题 6 字符"/>
    <w:basedOn w:val="21"/>
    <w:link w:val="8"/>
    <w:semiHidden/>
    <w:qFormat/>
    <w:uiPriority w:val="9"/>
    <w:rPr>
      <w:rFonts w:cstheme="majorBidi"/>
      <w:b/>
      <w:bCs/>
      <w:color w:val="2F5597" w:themeColor="accent1" w:themeShade="BF"/>
    </w:rPr>
  </w:style>
  <w:style w:type="character" w:customStyle="1" w:styleId="30">
    <w:name w:val="标题 7 字符"/>
    <w:basedOn w:val="21"/>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1"/>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1"/>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1"/>
    <w:link w:val="19"/>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1"/>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1"/>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Intense Emphasis"/>
    <w:basedOn w:val="21"/>
    <w:qFormat/>
    <w:uiPriority w:val="21"/>
    <w:rPr>
      <w:i/>
      <w:iCs/>
      <w:color w:val="2F5597" w:themeColor="accent1" w:themeShade="BF"/>
    </w:rPr>
  </w:style>
  <w:style w:type="paragraph" w:styleId="39">
    <w:name w:val="Intense Quote"/>
    <w:basedOn w:val="1"/>
    <w:next w:val="1"/>
    <w:link w:val="4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0">
    <w:name w:val="明显引用 字符"/>
    <w:basedOn w:val="21"/>
    <w:link w:val="39"/>
    <w:qFormat/>
    <w:uiPriority w:val="30"/>
    <w:rPr>
      <w:i/>
      <w:iCs/>
      <w:color w:val="2F5597" w:themeColor="accent1" w:themeShade="BF"/>
    </w:rPr>
  </w:style>
  <w:style w:type="character" w:customStyle="1" w:styleId="41">
    <w:name w:val="Intense Reference"/>
    <w:basedOn w:val="21"/>
    <w:qFormat/>
    <w:uiPriority w:val="32"/>
    <w:rPr>
      <w:b/>
      <w:bCs/>
      <w:smallCaps/>
      <w:color w:val="2F5597" w:themeColor="accent1" w:themeShade="BF"/>
      <w:spacing w:val="5"/>
    </w:rPr>
  </w:style>
  <w:style w:type="character" w:customStyle="1" w:styleId="42">
    <w:name w:val="页脚 字符"/>
    <w:basedOn w:val="21"/>
    <w:link w:val="14"/>
    <w:qFormat/>
    <w:uiPriority w:val="99"/>
    <w:rPr>
      <w:rFonts w:ascii="宋体" w:hAnsi="宋体" w:eastAsia="宋体"/>
      <w:sz w:val="18"/>
      <w:szCs w:val="18"/>
      <w14:ligatures w14:val="none"/>
    </w:rPr>
  </w:style>
  <w:style w:type="character" w:customStyle="1" w:styleId="43">
    <w:name w:val="页眉 字符"/>
    <w:basedOn w:val="21"/>
    <w:link w:val="15"/>
    <w:qFormat/>
    <w:uiPriority w:val="99"/>
    <w:rPr>
      <w:rFonts w:ascii="宋体" w:hAnsi="宋体" w:eastAsia="宋体"/>
      <w:sz w:val="18"/>
      <w:szCs w:val="18"/>
      <w14:ligatures w14:val="none"/>
    </w:rPr>
  </w:style>
  <w:style w:type="character" w:customStyle="1" w:styleId="44">
    <w:name w:val="正文文本 字符"/>
    <w:basedOn w:val="21"/>
    <w:link w:val="2"/>
    <w:semiHidden/>
    <w:qFormat/>
    <w:uiPriority w:val="99"/>
    <w:rPr>
      <w:rFonts w:ascii="宋体" w:hAnsi="宋体" w:eastAsia="宋体"/>
      <w:sz w:val="24"/>
      <w:szCs w:val="32"/>
      <w14:ligatures w14:val="none"/>
    </w:rPr>
  </w:style>
  <w:style w:type="paragraph" w:customStyle="1" w:styleId="45">
    <w:name w:val="文档正文"/>
    <w:basedOn w:val="1"/>
    <w:qFormat/>
    <w:uiPriority w:val="0"/>
    <w:pPr>
      <w:adjustRightInd w:val="0"/>
      <w:snapToGrid w:val="0"/>
      <w:spacing w:line="480" w:lineRule="atLeast"/>
      <w:ind w:firstLine="567" w:firstLineChars="0"/>
      <w:textAlignment w:val="baseline"/>
    </w:pPr>
    <w:rPr>
      <w:rFonts w:ascii="Arial" w:hAnsi="Arial" w:cs="Times New Roman"/>
      <w:spacing w:val="8"/>
      <w:kern w:val="0"/>
      <w:szCs w:val="20"/>
    </w:rPr>
  </w:style>
  <w:style w:type="paragraph" w:customStyle="1" w:styleId="46">
    <w:name w:val="_Style 43"/>
    <w:basedOn w:val="1"/>
    <w:next w:val="37"/>
    <w:link w:val="47"/>
    <w:qFormat/>
    <w:uiPriority w:val="0"/>
    <w:pPr>
      <w:spacing w:line="240" w:lineRule="auto"/>
      <w:ind w:firstLine="420"/>
    </w:pPr>
    <w:rPr>
      <w:rFonts w:ascii="Times New Roman" w:hAnsi="Times New Roman" w:cs="Times New Roman"/>
      <w:sz w:val="21"/>
      <w:szCs w:val="24"/>
    </w:rPr>
  </w:style>
  <w:style w:type="character" w:customStyle="1" w:styleId="47">
    <w:name w:val="列出段落 Char"/>
    <w:link w:val="46"/>
    <w:qFormat/>
    <w:uiPriority w:val="34"/>
    <w:rPr>
      <w:kern w:val="2"/>
      <w:sz w:val="21"/>
      <w:szCs w:val="24"/>
    </w:rPr>
  </w:style>
  <w:style w:type="character" w:customStyle="1" w:styleId="48">
    <w:name w:val="无间隔 字符"/>
    <w:link w:val="49"/>
    <w:qFormat/>
    <w:uiPriority w:val="0"/>
    <w:rPr>
      <w:szCs w:val="22"/>
    </w:rPr>
  </w:style>
  <w:style w:type="paragraph" w:styleId="49">
    <w:name w:val="No Spacing"/>
    <w:link w:val="48"/>
    <w:qFormat/>
    <w:uiPriority w:val="0"/>
    <w:pPr>
      <w:spacing w:after="0" w:line="240" w:lineRule="auto"/>
    </w:pPr>
    <w:rPr>
      <w:rFonts w:asciiTheme="minorHAnsi" w:hAnsiTheme="minorHAnsi" w:eastAsiaTheme="minorEastAsia" w:cstheme="minorBidi"/>
      <w:kern w:val="2"/>
      <w:sz w:val="22"/>
      <w:szCs w:val="22"/>
      <w:lang w:val="en-US" w:eastAsia="zh-CN" w:bidi="ar-SA"/>
      <w14:ligatures w14:val="standardContextual"/>
    </w:rPr>
  </w:style>
  <w:style w:type="paragraph" w:customStyle="1" w:styleId="50">
    <w:name w:val="标准正文"/>
    <w:basedOn w:val="1"/>
    <w:link w:val="51"/>
    <w:qFormat/>
    <w:uiPriority w:val="0"/>
    <w:rPr>
      <w:rFonts w:cs="Times New Roman"/>
      <w:szCs w:val="20"/>
    </w:rPr>
  </w:style>
  <w:style w:type="character" w:customStyle="1" w:styleId="51">
    <w:name w:val="标准正文 字符"/>
    <w:link w:val="50"/>
    <w:qFormat/>
    <w:uiPriority w:val="0"/>
    <w:rPr>
      <w:rFonts w:ascii="宋体" w:hAnsi="宋体" w:eastAsia="宋体" w:cs="Times New Roman"/>
      <w:sz w:val="24"/>
      <w:szCs w:val="20"/>
      <w14:ligatures w14:val="none"/>
    </w:rPr>
  </w:style>
  <w:style w:type="paragraph" w:customStyle="1" w:styleId="52">
    <w:name w:val="Default"/>
    <w:qFormat/>
    <w:uiPriority w:val="0"/>
    <w:pPr>
      <w:autoSpaceDE w:val="0"/>
      <w:autoSpaceDN w:val="0"/>
      <w:adjustRightInd w:val="0"/>
      <w:spacing w:after="0" w:line="240" w:lineRule="auto"/>
    </w:pPr>
    <w:rPr>
      <w:rFonts w:ascii="DFPHei Std W5" w:hAnsi="Calibri" w:eastAsia="DFPHei Std W5" w:cs="DFPHei Std W5"/>
      <w:color w:val="000000"/>
      <w:kern w:val="0"/>
      <w:sz w:val="24"/>
      <w:szCs w:val="24"/>
      <w:lang w:val="en-US" w:eastAsia="zh-CN" w:bidi="ar-SA"/>
      <w14:ligatures w14:val="none"/>
    </w:rPr>
  </w:style>
  <w:style w:type="character" w:customStyle="1" w:styleId="53">
    <w:name w:val="批注文字 字符"/>
    <w:basedOn w:val="21"/>
    <w:link w:val="12"/>
    <w:semiHidden/>
    <w:qFormat/>
    <w:uiPriority w:val="99"/>
    <w:rPr>
      <w:rFonts w:ascii="Times New Roman" w:hAnsi="Times New Roman" w:eastAsia="宋体" w:cs="Times New Roman"/>
      <w:sz w:val="21"/>
      <w14:ligatures w14:val="none"/>
    </w:rPr>
  </w:style>
  <w:style w:type="character" w:customStyle="1" w:styleId="54">
    <w:name w:val="font61"/>
    <w:basedOn w:val="21"/>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1093</Words>
  <Characters>1125</Characters>
  <Lines>18</Lines>
  <Paragraphs>5</Paragraphs>
  <TotalTime>2</TotalTime>
  <ScaleCrop>false</ScaleCrop>
  <LinksUpToDate>false</LinksUpToDate>
  <CharactersWithSpaces>1126</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2025-04-30T06:55:00Z</dcterms:created>
  <dc:creator>f zhao</dc:creator>
  <cp:lastModifiedBy>道如那</cp:lastModifiedBy>
  <dcterms:modified xsi:type="dcterms:W3CDTF">2026-04-21T08:23:41Z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eyJoZGlkIjoiZTkyODU0MWFiZWNhMDhlZTkwZTYwMzI3ODA1ZWFjM2IiLCJ1c2VySWQiOiIxNzY2MzQ2Njc3In0=</vt:lpwstr>
  </property>
  <property fmtid="{D5CDD505-2E9C-101B-9397-08002B2CF9AE}" pid="3" name="KSOProductBuildVer">
    <vt:lpwstr>2052-12.1.0.25860</vt:lpwstr>
  </property>
  <property fmtid="{D5CDD505-2E9C-101B-9397-08002B2CF9AE}" pid="4" name="ICV">
    <vt:lpwstr>1B613C4D79AA49D4A0F090FA75F4DA56_12</vt:lpwstr>
  </property>
</Properties>
</file>