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0150D">
      <w:pPr>
        <w:spacing w:before="480" w:after="480" w:line="288" w:lineRule="auto"/>
        <w:ind w:left="0"/>
        <w:jc w:val="center"/>
      </w:pPr>
      <w:bookmarkStart w:id="0" w:name="_GoBack"/>
      <w:bookmarkEnd w:id="0"/>
      <w:r>
        <w:rPr>
          <w:rFonts w:ascii="Arial" w:hAnsi="Arial" w:eastAsia="等线" w:cs="Arial"/>
          <w:b/>
          <w:sz w:val="52"/>
        </w:rPr>
        <w:t>参数</w:t>
      </w:r>
    </w:p>
    <w:p w14:paraId="018797A2">
      <w:pPr>
        <w:pStyle w:val="35"/>
        <w:numPr>
          <w:ilvl w:val="0"/>
          <w:numId w:val="1"/>
        </w:numPr>
        <w:snapToGrid w:val="0"/>
        <w:spacing w:before="322" w:line="223" w:lineRule="auto"/>
        <w:ind w:left="0" w:leftChars="0" w:firstLineChars="0"/>
        <w:rPr>
          <w:rFonts w:hint="eastAsia" w:ascii="华文宋体" w:hAnsi="华文宋体" w:eastAsia="华文宋体" w:cs="华文宋体"/>
          <w:b w:val="0"/>
          <w:spacing w:val="7"/>
          <w:sz w:val="30"/>
          <w:szCs w:val="30"/>
        </w:rPr>
      </w:pP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推进速度可设置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  <w:t>5≥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种速度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eastAsia="zh-CN"/>
        </w:rPr>
        <w:t>：</w:t>
      </w:r>
      <w:r>
        <w:rPr>
          <w:rFonts w:hint="eastAsia" w:ascii="华文宋体" w:hAnsi="华文宋体" w:eastAsia="华文宋体" w:cs="华文宋体"/>
          <w:b w:val="0"/>
          <w:spacing w:val="17"/>
          <w:sz w:val="30"/>
          <w:szCs w:val="30"/>
        </w:rPr>
        <w:t>非常快速:3.5</w:t>
      </w:r>
      <w:r>
        <w:rPr>
          <w:rFonts w:hint="eastAsia" w:ascii="华文宋体" w:hAnsi="华文宋体" w:eastAsia="华文宋体" w:cs="华文宋体"/>
          <w:b w:val="0"/>
          <w:sz w:val="30"/>
          <w:szCs w:val="30"/>
        </w:rPr>
        <w:t>mm</w:t>
      </w:r>
      <w:r>
        <w:rPr>
          <w:rFonts w:hint="eastAsia" w:ascii="华文宋体" w:hAnsi="华文宋体" w:eastAsia="华文宋体" w:cs="华文宋体"/>
          <w:b w:val="0"/>
          <w:spacing w:val="17"/>
          <w:sz w:val="30"/>
          <w:szCs w:val="30"/>
        </w:rPr>
        <w:t>/s;</w:t>
      </w:r>
      <w:r>
        <w:rPr>
          <w:rFonts w:hint="eastAsia" w:ascii="华文宋体" w:hAnsi="华文宋体" w:eastAsia="华文宋体" w:cs="华文宋体"/>
          <w:b w:val="0"/>
          <w:sz w:val="30"/>
          <w:szCs w:val="30"/>
        </w:rPr>
        <w:t xml:space="preserve"> </w:t>
      </w:r>
      <w:r>
        <w:rPr>
          <w:rFonts w:hint="eastAsia" w:ascii="华文宋体" w:hAnsi="华文宋体" w:eastAsia="华文宋体" w:cs="华文宋体"/>
          <w:b w:val="0"/>
          <w:spacing w:val="17"/>
          <w:sz w:val="30"/>
          <w:szCs w:val="30"/>
        </w:rPr>
        <w:t>快速:3.0</w:t>
      </w:r>
      <w:r>
        <w:rPr>
          <w:rFonts w:hint="eastAsia" w:ascii="华文宋体" w:hAnsi="华文宋体" w:eastAsia="华文宋体" w:cs="华文宋体"/>
          <w:b w:val="0"/>
          <w:sz w:val="30"/>
          <w:szCs w:val="30"/>
        </w:rPr>
        <w:t>mm</w:t>
      </w:r>
      <w:r>
        <w:rPr>
          <w:rFonts w:hint="eastAsia" w:ascii="华文宋体" w:hAnsi="华文宋体" w:eastAsia="华文宋体" w:cs="华文宋体"/>
          <w:b w:val="0"/>
          <w:spacing w:val="17"/>
          <w:sz w:val="30"/>
          <w:szCs w:val="30"/>
        </w:rPr>
        <w:t>/s;</w:t>
      </w:r>
      <w:r>
        <w:rPr>
          <w:rFonts w:hint="eastAsia" w:ascii="华文宋体" w:hAnsi="华文宋体" w:eastAsia="华文宋体" w:cs="华文宋体"/>
          <w:b w:val="0"/>
          <w:spacing w:val="18"/>
          <w:sz w:val="30"/>
          <w:szCs w:val="30"/>
        </w:rPr>
        <w:t>中速:2.5</w:t>
      </w:r>
      <w:r>
        <w:rPr>
          <w:rFonts w:hint="eastAsia" w:ascii="华文宋体" w:hAnsi="华文宋体" w:eastAsia="华文宋体" w:cs="华文宋体"/>
          <w:b w:val="0"/>
          <w:sz w:val="30"/>
          <w:szCs w:val="30"/>
        </w:rPr>
        <w:t>mm</w:t>
      </w:r>
      <w:r>
        <w:rPr>
          <w:rFonts w:hint="eastAsia" w:ascii="华文宋体" w:hAnsi="华文宋体" w:eastAsia="华文宋体" w:cs="华文宋体"/>
          <w:b w:val="0"/>
          <w:spacing w:val="18"/>
          <w:sz w:val="30"/>
          <w:szCs w:val="30"/>
        </w:rPr>
        <w:t>/s;</w:t>
      </w:r>
      <w:r>
        <w:rPr>
          <w:rFonts w:hint="eastAsia" w:ascii="华文宋体" w:hAnsi="华文宋体" w:eastAsia="华文宋体" w:cs="华文宋体"/>
          <w:b w:val="0"/>
          <w:spacing w:val="17"/>
          <w:sz w:val="30"/>
          <w:szCs w:val="30"/>
        </w:rPr>
        <w:t>慢:2.0</w:t>
      </w:r>
      <w:r>
        <w:rPr>
          <w:rFonts w:hint="eastAsia" w:ascii="华文宋体" w:hAnsi="华文宋体" w:eastAsia="华文宋体" w:cs="华文宋体"/>
          <w:b w:val="0"/>
          <w:sz w:val="30"/>
          <w:szCs w:val="30"/>
        </w:rPr>
        <w:t>mm</w:t>
      </w:r>
      <w:r>
        <w:rPr>
          <w:rFonts w:hint="eastAsia" w:ascii="华文宋体" w:hAnsi="华文宋体" w:eastAsia="华文宋体" w:cs="华文宋体"/>
          <w:b w:val="0"/>
          <w:spacing w:val="17"/>
          <w:sz w:val="30"/>
          <w:szCs w:val="30"/>
        </w:rPr>
        <w:t>/s;</w:t>
      </w:r>
      <w:r>
        <w:rPr>
          <w:rFonts w:hint="eastAsia" w:ascii="华文宋体" w:hAnsi="华文宋体" w:eastAsia="华文宋体" w:cs="华文宋体"/>
          <w:b w:val="0"/>
          <w:spacing w:val="20"/>
          <w:sz w:val="30"/>
          <w:szCs w:val="30"/>
        </w:rPr>
        <w:t>非常慢速:1.6</w:t>
      </w:r>
      <w:r>
        <w:rPr>
          <w:rFonts w:hint="eastAsia" w:ascii="华文宋体" w:hAnsi="华文宋体" w:eastAsia="华文宋体" w:cs="华文宋体"/>
          <w:b w:val="0"/>
          <w:sz w:val="30"/>
          <w:szCs w:val="30"/>
        </w:rPr>
        <w:t>mm</w:t>
      </w:r>
      <w:r>
        <w:rPr>
          <w:rFonts w:hint="eastAsia" w:ascii="华文宋体" w:hAnsi="华文宋体" w:eastAsia="华文宋体" w:cs="华文宋体"/>
          <w:b w:val="0"/>
          <w:spacing w:val="20"/>
          <w:sz w:val="30"/>
          <w:szCs w:val="30"/>
        </w:rPr>
        <w:t>/s,</w:t>
      </w:r>
      <w:r>
        <w:rPr>
          <w:rFonts w:hint="eastAsia" w:ascii="华文宋体" w:hAnsi="华文宋体" w:eastAsia="华文宋体" w:cs="华文宋体"/>
          <w:b w:val="0"/>
          <w:spacing w:val="9"/>
          <w:sz w:val="30"/>
          <w:szCs w:val="30"/>
        </w:rPr>
        <w:t xml:space="preserve"> </w:t>
      </w:r>
      <w:r>
        <w:rPr>
          <w:rFonts w:hint="eastAsia" w:ascii="华文宋体" w:hAnsi="华文宋体" w:eastAsia="华文宋体" w:cs="华文宋体"/>
          <w:b w:val="0"/>
          <w:spacing w:val="7"/>
          <w:sz w:val="30"/>
          <w:szCs w:val="30"/>
        </w:rPr>
        <w:t>推进速度精度允差为±15%。</w:t>
      </w:r>
    </w:p>
    <w:p w14:paraId="1EF47133">
      <w:pPr>
        <w:pStyle w:val="35"/>
        <w:numPr>
          <w:ilvl w:val="0"/>
          <w:numId w:val="1"/>
        </w:numPr>
        <w:snapToGrid w:val="0"/>
        <w:spacing w:before="322" w:line="223" w:lineRule="auto"/>
        <w:ind w:left="0" w:leftChars="0" w:firstLineChars="0"/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</w:pP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负压范围最大负压强度≤-75kPa,负压范围共有11档可 以设定，档位具体压力及误差。</w:t>
      </w:r>
    </w:p>
    <w:p w14:paraId="5F7F5B5B">
      <w:pPr>
        <w:pStyle w:val="35"/>
        <w:numPr>
          <w:ilvl w:val="0"/>
          <w:numId w:val="1"/>
        </w:numPr>
        <w:snapToGrid w:val="0"/>
        <w:spacing w:before="322" w:line="223" w:lineRule="auto"/>
        <w:ind w:left="0" w:leftChars="0" w:firstLineChars="0"/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</w:pP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显示屏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eastAsia="zh-CN"/>
        </w:rPr>
        <w:t>：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液晶屏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  <w:t>≥15吋</w:t>
      </w:r>
    </w:p>
    <w:p w14:paraId="3A8CC7B1">
      <w:pPr>
        <w:pStyle w:val="35"/>
        <w:numPr>
          <w:ilvl w:val="0"/>
          <w:numId w:val="1"/>
        </w:numPr>
        <w:snapToGrid w:val="0"/>
        <w:spacing w:before="322" w:line="223" w:lineRule="auto"/>
        <w:ind w:left="0" w:leftChars="0" w:firstLineChars="0"/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</w:pP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操作方式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eastAsia="zh-CN"/>
        </w:rPr>
        <w:t>：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触摸屏操作</w:t>
      </w:r>
    </w:p>
    <w:p w14:paraId="5EC6BB45">
      <w:pPr>
        <w:pStyle w:val="35"/>
        <w:numPr>
          <w:ilvl w:val="0"/>
          <w:numId w:val="1"/>
        </w:numPr>
        <w:snapToGrid w:val="0"/>
        <w:spacing w:before="322" w:line="223" w:lineRule="auto"/>
        <w:ind w:left="0" w:leftChars="0" w:firstLineChars="0"/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</w:pP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注射时间间隔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eastAsia="zh-CN"/>
        </w:rPr>
        <w:t>：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每次注射的间隔时间可选择0.5s、1.0s、1.5s、</w:t>
      </w:r>
    </w:p>
    <w:p w14:paraId="64A7EAAF">
      <w:pPr>
        <w:pStyle w:val="35"/>
        <w:numPr>
          <w:ilvl w:val="0"/>
          <w:numId w:val="0"/>
        </w:numPr>
        <w:snapToGrid w:val="0"/>
        <w:spacing w:before="322" w:line="223" w:lineRule="auto"/>
        <w:ind w:leftChars="0"/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</w:pP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2.0s、2.5s、3.0s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  <w:t>等多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种设置，时间间隔允差为 ±10%。</w:t>
      </w:r>
    </w:p>
    <w:p w14:paraId="09F0B874">
      <w:pPr>
        <w:pStyle w:val="35"/>
        <w:numPr>
          <w:ilvl w:val="0"/>
          <w:numId w:val="1"/>
        </w:numPr>
        <w:snapToGrid w:val="0"/>
        <w:spacing w:before="322" w:line="223" w:lineRule="auto"/>
        <w:ind w:left="0" w:leftChars="0" w:firstLineChars="0"/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</w:pP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注射模式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eastAsia="zh-CN"/>
        </w:rPr>
        <w:t>：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自动感应模式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eastAsia="zh-CN"/>
        </w:rPr>
        <w:t>、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自动脚踏模式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eastAsia="zh-CN"/>
        </w:rPr>
        <w:t>、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连续脚踏模式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  <w:t>等</w:t>
      </w:r>
    </w:p>
    <w:p w14:paraId="3F55F8E2">
      <w:pPr>
        <w:pStyle w:val="35"/>
        <w:numPr>
          <w:ilvl w:val="0"/>
          <w:numId w:val="1"/>
        </w:numPr>
        <w:snapToGrid w:val="0"/>
        <w:spacing w:before="322" w:line="223" w:lineRule="auto"/>
        <w:ind w:left="0" w:leftChars="0" w:firstLineChars="0"/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</w:pP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适配注射器规 格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eastAsia="zh-CN"/>
        </w:rPr>
        <w:t>：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产品适配注射器规格包括1ml、2.25ml、3ml、5ml 共4种规格。不同规格注射器因实际装量不同，可分为0.8ml/1ml(实际装量/注射器规格)、1ml/2.25ml、2ml/2.25ml、2ml/3ml、2.5ml/3ml、 3ml/3 ml、3ml/5ml、4ml/5ml、5ml/5 ml九种</w:t>
      </w:r>
    </w:p>
    <w:p w14:paraId="1DF5DE60">
      <w:pPr>
        <w:pStyle w:val="35"/>
        <w:numPr>
          <w:ilvl w:val="0"/>
          <w:numId w:val="1"/>
        </w:numPr>
        <w:snapToGrid w:val="0"/>
        <w:spacing w:before="322" w:line="223" w:lineRule="auto"/>
        <w:ind w:left="0" w:leftChars="0" w:firstLineChars="0"/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</w:pP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注射次数设置18种次数可以设置，分别为：10、20、30、40、50、60、70、80、90、100、110、120、130、140、150、160、170、180。</w:t>
      </w:r>
    </w:p>
    <w:p w14:paraId="53207F78">
      <w:pPr>
        <w:pStyle w:val="35"/>
        <w:numPr>
          <w:ilvl w:val="0"/>
          <w:numId w:val="1"/>
        </w:numPr>
        <w:snapToGrid w:val="0"/>
        <w:spacing w:before="322" w:line="223" w:lineRule="auto"/>
        <w:ind w:left="0" w:leftChars="0" w:firstLineChars="0"/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</w:pP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即时存储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eastAsia="zh-CN"/>
        </w:rPr>
        <w:t>：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用户也可以调用已经存储参数，共有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  <w:t>≥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4个存储块。</w:t>
      </w:r>
    </w:p>
    <w:p w14:paraId="2F6F18F3">
      <w:pPr>
        <w:pStyle w:val="35"/>
        <w:numPr>
          <w:ilvl w:val="0"/>
          <w:numId w:val="1"/>
        </w:numPr>
        <w:snapToGrid w:val="0"/>
        <w:spacing w:before="322" w:line="223" w:lineRule="auto"/>
        <w:ind w:left="0" w:leftChars="0" w:firstLineChars="0"/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</w:pP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  <w:t>具备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阻塞提示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eastAsia="zh-CN"/>
        </w:rPr>
        <w:t>、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负压不足提示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eastAsia="zh-CN"/>
        </w:rPr>
        <w:t>、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</w:rPr>
        <w:t>掉电提示</w:t>
      </w: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  <w:t>等功能。</w:t>
      </w:r>
    </w:p>
    <w:p w14:paraId="5C7869A4">
      <w:pPr>
        <w:pStyle w:val="35"/>
        <w:numPr>
          <w:ilvl w:val="0"/>
          <w:numId w:val="1"/>
        </w:numPr>
        <w:snapToGrid w:val="0"/>
        <w:spacing w:before="322" w:line="223" w:lineRule="auto"/>
        <w:ind w:left="0" w:leftChars="0" w:firstLineChars="0"/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</w:pP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  <w:t>质保期≥2年（质保期内人工维修、配件、2小时到场费用由供应商承担，并提供备用设备一台）</w:t>
      </w:r>
    </w:p>
    <w:p w14:paraId="3C753E8A">
      <w:pPr>
        <w:pStyle w:val="35"/>
        <w:numPr>
          <w:ilvl w:val="0"/>
          <w:numId w:val="1"/>
        </w:numPr>
        <w:snapToGrid w:val="0"/>
        <w:spacing w:before="322" w:line="223" w:lineRule="auto"/>
        <w:ind w:left="0" w:leftChars="0" w:firstLineChars="0"/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</w:pPr>
      <w:r>
        <w:rPr>
          <w:rFonts w:hint="eastAsia" w:ascii="华文宋体" w:hAnsi="华文宋体" w:eastAsia="华文宋体" w:cs="华文宋体"/>
          <w:b w:val="0"/>
          <w:spacing w:val="8"/>
          <w:sz w:val="30"/>
          <w:szCs w:val="30"/>
          <w:lang w:val="en-US" w:eastAsia="zh-CN"/>
        </w:rPr>
        <w:t>设备生产日期须为合同签订日期前6个月内或合同签订日期之后生产。</w:t>
      </w:r>
    </w:p>
    <w:p w14:paraId="263E169F">
      <w:pPr>
        <w:spacing w:line="580" w:lineRule="exact"/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7E28EE"/>
    <w:multiLevelType w:val="singleLevel"/>
    <w:tmpl w:val="437E28EE"/>
    <w:lvl w:ilvl="0" w:tentative="0">
      <w:start w:val="1"/>
      <w:numFmt w:val="decimal"/>
      <w:suff w:val="nothing"/>
      <w:lvlText w:val="%1、"/>
      <w:lvlJc w:val="left"/>
      <w:pPr>
        <w:ind w:left="-221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623B0A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8E63A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50BA3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B3007E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5">
    <w:name w:val="Table Text"/>
    <w:basedOn w:val="1"/>
    <w:semiHidden/>
    <w:qFormat/>
    <w:uiPriority w:val="0"/>
    <w:rPr>
      <w:rFonts w:ascii="宋体" w:hAnsi="宋体" w:eastAsia="宋体" w:cs="宋体"/>
      <w:sz w:val="42"/>
      <w:szCs w:val="4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2195</Words>
  <Characters>2430</Characters>
  <Lines>8</Lines>
  <Paragraphs>2</Paragraphs>
  <TotalTime>3</TotalTime>
  <ScaleCrop>false</ScaleCrop>
  <LinksUpToDate>false</LinksUpToDate>
  <CharactersWithSpaces>2555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2026-06-22T01:11:54Z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79DA799118C346AC920CADFD8E4EA629_13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