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7CBD92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 xml:space="preserve">显微镜光路设计方式：平行式（伽利略式） </w:t>
      </w:r>
    </w:p>
    <w:p w14:paraId="33632F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0" w:firstLineChars="0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高眼点目镜：出瞳和目镜最近距离≥17mm,</w:t>
      </w:r>
    </w:p>
    <w:p w14:paraId="40869C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firstLine="0" w:firstLineChars="0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目镜放大倍率：12.5X</w:t>
      </w:r>
    </w:p>
    <w:p w14:paraId="706991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总倍率：6X、 10X、 16X、 25X、 40X</w:t>
      </w:r>
    </w:p>
    <w:p w14:paraId="6BBB95C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视场中心分辨率≥108lp/mm(40X)</w:t>
      </w:r>
    </w:p>
    <w:p w14:paraId="6B173E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目镜瞳距调节范围：55mm~72mm</w:t>
      </w:r>
    </w:p>
    <w:p w14:paraId="0A526B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 xml:space="preserve">屈光调节：-6D~+6D </w:t>
      </w:r>
    </w:p>
    <w:p w14:paraId="107E77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sz w:val="28"/>
          <w:szCs w:val="28"/>
        </w:rPr>
        <w:t>最大裂隙长度：≥12mm</w:t>
      </w:r>
    </w:p>
    <w:p w14:paraId="4D4529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最小裂隙宽度：≤0.2mm</w:t>
      </w:r>
    </w:p>
    <w:p w14:paraId="356763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10.</w:t>
      </w:r>
      <w:r>
        <w:rPr>
          <w:rFonts w:ascii="宋体" w:hAnsi="宋体" w:eastAsia="宋体" w:cs="宋体"/>
          <w:sz w:val="28"/>
          <w:szCs w:val="28"/>
        </w:rPr>
        <w:t xml:space="preserve">最大裂隙宽度：≥12mm </w:t>
      </w:r>
    </w:p>
    <w:p w14:paraId="1010D4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11.</w:t>
      </w:r>
      <w:r>
        <w:rPr>
          <w:rFonts w:ascii="宋体" w:hAnsi="宋体" w:eastAsia="宋体" w:cs="宋体"/>
          <w:sz w:val="28"/>
          <w:szCs w:val="28"/>
        </w:rPr>
        <w:t xml:space="preserve">裂隙像角度：0º ~180º 可调 </w:t>
      </w:r>
    </w:p>
    <w:p w14:paraId="35A937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12.</w:t>
      </w:r>
      <w:r>
        <w:rPr>
          <w:rFonts w:ascii="宋体" w:hAnsi="宋体" w:eastAsia="宋体" w:cs="宋体"/>
          <w:sz w:val="28"/>
          <w:szCs w:val="28"/>
        </w:rPr>
        <w:t xml:space="preserve">照明光倾斜角度：5º 、 10º 、 15º 、 20º 四档可调 </w:t>
      </w:r>
    </w:p>
    <w:p w14:paraId="661DA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13.</w:t>
      </w:r>
      <w:r>
        <w:rPr>
          <w:rFonts w:ascii="宋体" w:hAnsi="宋体" w:eastAsia="宋体" w:cs="宋体"/>
          <w:sz w:val="28"/>
          <w:szCs w:val="28"/>
        </w:rPr>
        <w:t>视场直径：Φ33.2mm、Φ20.8mm、Φ13.3mm、Φ8.5mm、Φ5.3mm</w:t>
      </w:r>
    </w:p>
    <w:p w14:paraId="4AC9C4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14.</w:t>
      </w:r>
      <w:r>
        <w:rPr>
          <w:rFonts w:ascii="宋体" w:hAnsi="宋体" w:eastAsia="宋体" w:cs="宋体"/>
          <w:sz w:val="28"/>
          <w:szCs w:val="28"/>
        </w:rPr>
        <w:t xml:space="preserve">滤色片：无色片、隔热片、减光片、无赤片、钴蓝片 </w:t>
      </w:r>
    </w:p>
    <w:p w14:paraId="0F3654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15.</w:t>
      </w:r>
      <w:r>
        <w:rPr>
          <w:rFonts w:ascii="宋体" w:hAnsi="宋体" w:eastAsia="宋体" w:cs="宋体"/>
          <w:sz w:val="28"/>
          <w:szCs w:val="28"/>
        </w:rPr>
        <w:t xml:space="preserve">照明灯泡：LED长寿命 </w:t>
      </w:r>
    </w:p>
    <w:p w14:paraId="264CE7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16.</w:t>
      </w:r>
      <w:r>
        <w:rPr>
          <w:rFonts w:ascii="宋体" w:hAnsi="宋体" w:eastAsia="宋体" w:cs="宋体"/>
          <w:sz w:val="28"/>
          <w:szCs w:val="28"/>
        </w:rPr>
        <w:t>裂隙灯光斑照度：≥220000lx</w:t>
      </w:r>
    </w:p>
    <w:p w14:paraId="5DD0A3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17.</w:t>
      </w:r>
      <w:r>
        <w:rPr>
          <w:rFonts w:ascii="宋体" w:hAnsi="宋体" w:eastAsia="宋体" w:cs="宋体"/>
          <w:sz w:val="28"/>
          <w:szCs w:val="28"/>
        </w:rPr>
        <w:t xml:space="preserve">最小光斑尺寸：≤0.5mm </w:t>
      </w:r>
    </w:p>
    <w:p w14:paraId="222205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18.</w:t>
      </w:r>
      <w:r>
        <w:rPr>
          <w:rFonts w:ascii="宋体" w:hAnsi="宋体" w:eastAsia="宋体" w:cs="宋体"/>
          <w:sz w:val="28"/>
          <w:szCs w:val="28"/>
        </w:rPr>
        <w:t>工作距离：100mm</w:t>
      </w:r>
    </w:p>
    <w:p w14:paraId="50B219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19.</w:t>
      </w:r>
      <w:r>
        <w:rPr>
          <w:rFonts w:ascii="宋体" w:hAnsi="宋体" w:eastAsia="宋体" w:cs="宋体"/>
          <w:sz w:val="28"/>
          <w:szCs w:val="28"/>
        </w:rPr>
        <w:t>移动台左右调节范围≥100mm，前后调节范围≥58mm</w:t>
      </w:r>
    </w:p>
    <w:p w14:paraId="4C985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20.</w:t>
      </w:r>
      <w:r>
        <w:rPr>
          <w:rFonts w:ascii="宋体" w:hAnsi="宋体" w:eastAsia="宋体" w:cs="宋体"/>
          <w:sz w:val="28"/>
          <w:szCs w:val="28"/>
        </w:rPr>
        <w:t>下巴托升降范围≥80mm</w:t>
      </w:r>
    </w:p>
    <w:p w14:paraId="5C7869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21.质保期≥2年（质保期内人工维修、配件、2小时到场费用由供应商承担，并提供备用设备一台）</w:t>
      </w:r>
    </w:p>
    <w:p w14:paraId="3C753E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22.设备生产日期须为合同签订日期前6个月内或合同签订日期之后生产。</w:t>
      </w:r>
    </w:p>
    <w:p w14:paraId="26C735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4D1B4EA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ingFang SC Regular">
    <w:altName w:val="宋体"/>
    <w:panose1 w:val="020B0400000000000000"/>
    <w:charset w:val="86"/>
    <w:family w:val="roman"/>
    <w:pitch w:val="default"/>
    <w:sig w:usb0="00000000" w:usb1="00000000" w:usb2="00000017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B2129A"/>
    <w:multiLevelType w:val="singleLevel"/>
    <w:tmpl w:val="47B212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235908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A34963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5B650AA"/>
    <w:rsid w:val="4609407D"/>
    <w:rsid w:val="46165CC9"/>
    <w:rsid w:val="462A38A5"/>
    <w:rsid w:val="4638003D"/>
    <w:rsid w:val="466542B9"/>
    <w:rsid w:val="466643F5"/>
    <w:rsid w:val="469B17B6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451D5B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表格样式 2"/>
    <w:qFormat/>
    <w:uiPriority w:val="0"/>
    <w:rPr>
      <w:rFonts w:ascii="PingFang SC Regular" w:hAnsi="PingFang SC Regular" w:eastAsia="Arial Unicode MS" w:cs="Arial Unicode MS"/>
      <w:color w:val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2089</Words>
  <Characters>2298</Characters>
  <Lines>8</Lines>
  <Paragraphs>2</Paragraphs>
  <TotalTime>5</TotalTime>
  <ScaleCrop>false</ScaleCrop>
  <LinksUpToDate>false</LinksUpToDate>
  <CharactersWithSpaces>2431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2026-06-22T01:57:26Z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01E14CD653D245598EC8EE678D2C485E_13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