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6541E">
      <w:pPr>
        <w:rPr>
          <w:rFonts w:hint="eastAsia" w:ascii="宋体" w:hAnsi="宋体" w:eastAsia="宋体" w:cs="宋体"/>
          <w:b/>
          <w:sz w:val="32"/>
        </w:rPr>
      </w:pPr>
    </w:p>
    <w:p w14:paraId="1915537D">
      <w:pPr>
        <w:spacing w:before="480" w:after="480" w:line="288" w:lineRule="auto"/>
        <w:ind w:left="0"/>
        <w:jc w:val="center"/>
        <w:rPr>
          <w:rFonts w:hint="eastAsia"/>
        </w:rPr>
      </w:pPr>
      <w:bookmarkStart w:id="0" w:name="_GoBack"/>
      <w:bookmarkEnd w:id="0"/>
      <w:r>
        <w:rPr>
          <w:rFonts w:ascii="Arial" w:hAnsi="Arial" w:eastAsia="等线" w:cs="Arial"/>
          <w:b/>
          <w:sz w:val="52"/>
        </w:rPr>
        <w:t>参数</w:t>
      </w:r>
    </w:p>
    <w:p w14:paraId="3D20A9FD">
      <w:pPr>
        <w:spacing w:line="580" w:lineRule="exact"/>
        <w:ind w:firstLine="480" w:firstLineChars="200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一、尺寸规格</w:t>
      </w:r>
    </w:p>
    <w:p w14:paraId="3647A54B">
      <w:pPr>
        <w:spacing w:line="580" w:lineRule="exact"/>
        <w:ind w:firstLine="480" w:firstLineChars="200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1. 杆体直径：5mm±0.5mm</w:t>
      </w:r>
    </w:p>
    <w:p w14:paraId="6E226C1C">
      <w:pPr>
        <w:spacing w:line="580" w:lineRule="exact"/>
        <w:ind w:firstLine="480" w:firstLineChars="200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2. 杆体长度：330mm±10mm</w:t>
      </w:r>
    </w:p>
    <w:p w14:paraId="60CAA1D7">
      <w:pPr>
        <w:spacing w:line="580" w:lineRule="exact"/>
        <w:ind w:firstLine="480" w:firstLineChars="200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3. 最大插入部外径：≤φ7mm</w:t>
      </w:r>
    </w:p>
    <w:p w14:paraId="301C7362">
      <w:pPr>
        <w:spacing w:line="580" w:lineRule="exact"/>
        <w:ind w:firstLine="480" w:firstLineChars="200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二</w:t>
      </w:r>
      <w:r>
        <w:rPr>
          <w:rFonts w:hint="eastAsia" w:ascii="宋体" w:hAnsi="宋体" w:eastAsia="宋体" w:cs="宋体"/>
          <w:bCs/>
          <w:sz w:val="24"/>
        </w:rPr>
        <w:t>、钳头机械性能</w:t>
      </w:r>
    </w:p>
    <w:p w14:paraId="098619B4">
      <w:pPr>
        <w:spacing w:line="580" w:lineRule="exact"/>
        <w:ind w:firstLine="480" w:firstLineChars="200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1. 咬合吻合：钳头两片应相互完全吻合，无错位、错口、偏摆现象；钳齿清晰完整，无缺齿、毛齿、烂齿等缺陷。</w:t>
      </w:r>
    </w:p>
    <w:p w14:paraId="330421A3">
      <w:pPr>
        <w:spacing w:line="580" w:lineRule="exact"/>
        <w:ind w:firstLine="480" w:firstLineChars="200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2. 开合性能：钳开闭灵活，全程无卡滞；钳头最大张开角度不得小于30°。</w:t>
      </w:r>
    </w:p>
    <w:p w14:paraId="2F858F10">
      <w:pPr>
        <w:spacing w:line="580" w:lineRule="exact"/>
        <w:ind w:firstLine="480" w:firstLineChars="200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3. 夹持力：钳头夹持力不小于5N。</w:t>
      </w:r>
    </w:p>
    <w:p w14:paraId="3E6221BA">
      <w:pPr>
        <w:spacing w:line="580" w:lineRule="exact"/>
        <w:ind w:firstLine="480" w:firstLineChars="200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4. 弹性要求：器械具备良好弹性，夹持φ2mm紫铜棒时，钳体各部位不得产生变形、断裂现象。</w:t>
      </w:r>
    </w:p>
    <w:p w14:paraId="5AE1A563">
      <w:pPr>
        <w:spacing w:line="580" w:lineRule="exact"/>
        <w:ind w:firstLine="480" w:firstLineChars="200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5. 手柄旋转：塑柄钳转柄能够360°自由旋转，无卡滞现象。</w:t>
      </w:r>
    </w:p>
    <w:p w14:paraId="0AA29FF7">
      <w:pPr>
        <w:spacing w:line="580" w:lineRule="exact"/>
        <w:ind w:firstLine="480" w:firstLineChars="200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三</w:t>
      </w:r>
      <w:r>
        <w:rPr>
          <w:rFonts w:hint="eastAsia" w:ascii="宋体" w:hAnsi="宋体" w:eastAsia="宋体" w:cs="宋体"/>
          <w:bCs/>
          <w:sz w:val="24"/>
        </w:rPr>
        <w:t>、外观及表面粗糙度要求</w:t>
      </w:r>
    </w:p>
    <w:p w14:paraId="565A8A05">
      <w:pPr>
        <w:spacing w:line="580" w:lineRule="exact"/>
        <w:ind w:firstLine="480" w:firstLineChars="200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1. 绝缘外观：绝缘材料外表面光滑、平整、轮廓清晰；杆部平直，所有表面不得有锋棱、毛刺、细孔、裂纹、变形、残缺等易误伤组织的缺陷；无肉眼可识别的孔隙、沟槽、烧结物，表面无残留磨削剂、抛光剂、防腐剂。</w:t>
      </w:r>
    </w:p>
    <w:p w14:paraId="0ECD7CA1">
      <w:pPr>
        <w:spacing w:line="580" w:lineRule="exact"/>
        <w:ind w:firstLine="480" w:firstLineChars="200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2. 导电体外观：导电体平整光滑、无锐利边角，色泽均匀；与人体接触的腔内导电部位表面粗糙度Ra≤0.4μm，其余外部部位表面粗糙度Ra≤1.6μm。</w:t>
      </w:r>
    </w:p>
    <w:p w14:paraId="54C21E2E">
      <w:pPr>
        <w:spacing w:line="580" w:lineRule="exact"/>
        <w:ind w:firstLine="480" w:firstLineChars="200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3. 焊接要求：器械各连接部位焊接牢固可靠，焊缝平整，不存在虚焊、脱焊、堆焊现象。</w:t>
      </w:r>
    </w:p>
    <w:p w14:paraId="5ED8E18D">
      <w:pPr>
        <w:spacing w:line="580" w:lineRule="exact"/>
        <w:ind w:firstLine="480" w:firstLineChars="200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四</w:t>
      </w:r>
      <w:r>
        <w:rPr>
          <w:rFonts w:hint="eastAsia" w:ascii="宋体" w:hAnsi="宋体" w:eastAsia="宋体" w:cs="宋体"/>
          <w:bCs/>
          <w:sz w:val="24"/>
        </w:rPr>
        <w:t>、电缆连接性能</w:t>
      </w:r>
    </w:p>
    <w:p w14:paraId="45A7186A">
      <w:pPr>
        <w:spacing w:line="580" w:lineRule="exact"/>
        <w:ind w:firstLine="480" w:firstLineChars="200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电缆电线与电缆插头/插座连接紧固牢靠，整体可承受50N力的拉拽不脱落、断线。</w:t>
      </w:r>
    </w:p>
    <w:p w14:paraId="2F9EDA16">
      <w:pPr>
        <w:spacing w:line="580" w:lineRule="exact"/>
        <w:ind w:firstLine="480" w:firstLineChars="200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五</w:t>
      </w:r>
      <w:r>
        <w:rPr>
          <w:rFonts w:hint="eastAsia" w:ascii="宋体" w:hAnsi="宋体" w:eastAsia="宋体" w:cs="宋体"/>
          <w:bCs/>
          <w:sz w:val="24"/>
        </w:rPr>
        <w:t>、耐腐蚀与材质要求</w:t>
      </w:r>
    </w:p>
    <w:p w14:paraId="0258FB6E">
      <w:pPr>
        <w:spacing w:line="580" w:lineRule="exact"/>
        <w:ind w:firstLine="480" w:firstLineChars="200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1. 耐腐蚀性能：器械耐腐蚀性能满足YY/T0149-2006中5.4b级规定。</w:t>
      </w:r>
    </w:p>
    <w:p w14:paraId="7931CB0D">
      <w:pPr>
        <w:spacing w:line="580" w:lineRule="exact"/>
        <w:ind w:firstLine="480" w:firstLineChars="200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2. 绝缘材质：绝缘套采用聚苯苯基砜（POLYPHENYLSULFONE，PPSU），该材质必须完成溶解析出物试验并合格。</w:t>
      </w:r>
    </w:p>
    <w:p w14:paraId="4D2E0C0E">
      <w:pPr>
        <w:spacing w:line="580" w:lineRule="exact"/>
        <w:ind w:firstLine="480" w:firstLineChars="200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六</w:t>
      </w:r>
      <w:r>
        <w:rPr>
          <w:rFonts w:hint="eastAsia" w:ascii="宋体" w:hAnsi="宋体" w:eastAsia="宋体" w:cs="宋体"/>
          <w:bCs/>
          <w:sz w:val="24"/>
        </w:rPr>
        <w:t>、合规标准要求</w:t>
      </w:r>
    </w:p>
    <w:p w14:paraId="27CA46AD">
      <w:pPr>
        <w:spacing w:line="580" w:lineRule="exact"/>
        <w:ind w:firstLine="480" w:firstLineChars="200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1. 电气安全：器械安全符合GB9706.1—2007、GB9706.4-2009、GB9706.19-2000、GB11244-2005相关要求。</w:t>
      </w:r>
    </w:p>
    <w:p w14:paraId="27560AF7">
      <w:pPr>
        <w:spacing w:line="580" w:lineRule="exact"/>
        <w:ind w:firstLine="480" w:firstLineChars="200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2. 环境试验：环境试验按照GB/T 14710-2009执行，气候环境试验I组，机械环境试验II组。</w:t>
      </w:r>
    </w:p>
    <w:p w14:paraId="0625E6F2">
      <w:pPr>
        <w:spacing w:line="580" w:lineRule="exact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3. 电磁兼容：器械电磁兼容要求及试验符合YY 0505-2012规定。</w:t>
      </w:r>
    </w:p>
    <w:p w14:paraId="444628A7">
      <w:pPr>
        <w:spacing w:line="580" w:lineRule="exact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七</w:t>
      </w:r>
      <w:r>
        <w:rPr>
          <w:rFonts w:hint="eastAsia" w:ascii="宋体" w:hAnsi="宋体" w:eastAsia="宋体" w:cs="宋体"/>
          <w:bCs/>
          <w:sz w:val="24"/>
        </w:rPr>
        <w:t>、产品优点</w:t>
      </w:r>
    </w:p>
    <w:p w14:paraId="7706D71A">
      <w:pPr>
        <w:spacing w:line="580" w:lineRule="exact"/>
        <w:ind w:firstLine="480" w:firstLineChars="200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1. 电流仅在钳口两极间形成局部回路，不流经人体全身，无负极板灼伤风险；2. 可精准封闭微小血管，有效保护周边正常组织；3. 凝血速度快、作用范围可控，减少术中出血，缩短手术时长；4. 夹持、电凝一体化结构，适配多科室内窥镜手术，操作精准便捷。</w:t>
      </w:r>
    </w:p>
    <w:p w14:paraId="39CF0592">
      <w:pPr>
        <w:spacing w:line="580" w:lineRule="exact"/>
        <w:rPr>
          <w:rFonts w:hint="eastAsia" w:ascii="宋体" w:hAnsi="宋体" w:eastAsia="宋体" w:cs="宋体"/>
          <w:bCs/>
          <w:sz w:val="24"/>
          <w:lang w:eastAsia="zh-CN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八、质保期≥1年 （质保期内人工维修、配件、2小时到场费用由供应商、并提供备用电凝钳）。</w:t>
      </w:r>
    </w:p>
    <w:p w14:paraId="67379681">
      <w:pPr>
        <w:spacing w:line="580" w:lineRule="exact"/>
        <w:rPr>
          <w:rFonts w:hint="eastAsia" w:ascii="宋体" w:hAnsi="宋体" w:eastAsia="宋体" w:cs="宋体"/>
          <w:bCs/>
          <w:sz w:val="24"/>
          <w:lang w:val="en-US" w:eastAsia="zh-CN"/>
        </w:rPr>
      </w:pPr>
    </w:p>
    <w:p w14:paraId="10FBB474">
      <w:pPr>
        <w:spacing w:line="580" w:lineRule="exact"/>
        <w:ind w:firstLine="480" w:firstLineChars="200"/>
        <w:rPr>
          <w:rFonts w:hint="default" w:ascii="宋体" w:hAnsi="宋体" w:eastAsia="宋体" w:cs="宋体"/>
          <w:bCs/>
          <w:sz w:val="24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7"/>
      </w:rPr>
      <w:instrText xml:space="preserve"> PAGE  </w:instrText>
    </w:r>
    <w:r>
      <w:fldChar w:fldCharType="separate"/>
    </w:r>
    <w:r>
      <w:rPr>
        <w:rStyle w:val="17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9122449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79508F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85045F3"/>
    <w:rsid w:val="187C76ED"/>
    <w:rsid w:val="18870264"/>
    <w:rsid w:val="18C958B2"/>
    <w:rsid w:val="18D858A9"/>
    <w:rsid w:val="1A126573"/>
    <w:rsid w:val="1A2B10B0"/>
    <w:rsid w:val="1A4E7E2D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E733DF2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5876226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925F78"/>
    <w:rsid w:val="32BF33B6"/>
    <w:rsid w:val="33182F37"/>
    <w:rsid w:val="33CD3FBD"/>
    <w:rsid w:val="33DD4D9E"/>
    <w:rsid w:val="340567A1"/>
    <w:rsid w:val="34251151"/>
    <w:rsid w:val="34950514"/>
    <w:rsid w:val="34D0362B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2858AF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7A225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5F12FD0"/>
    <w:rsid w:val="66452CAD"/>
    <w:rsid w:val="667A63AC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AA3C81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5C77BB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3F4A1F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4D5457"/>
    <w:rsid w:val="7E8F5588"/>
    <w:rsid w:val="7EFC2DB7"/>
    <w:rsid w:val="7F477001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7"/>
    <w:qFormat/>
    <w:uiPriority w:val="0"/>
    <w:pPr>
      <w:jc w:val="left"/>
    </w:pPr>
  </w:style>
  <w:style w:type="paragraph" w:styleId="6">
    <w:name w:val="Body Text"/>
    <w:basedOn w:val="1"/>
    <w:link w:val="31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4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8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2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qFormat/>
    <w:uiPriority w:val="0"/>
    <w:rPr>
      <w:rFonts w:ascii="Times New Roman" w:hAnsi="Times New Roman" w:eastAsia="宋体" w:cs="Times New Roman"/>
    </w:rPr>
  </w:style>
  <w:style w:type="character" w:styleId="18">
    <w:name w:val="FollowedHyperlink"/>
    <w:basedOn w:val="16"/>
    <w:qFormat/>
    <w:uiPriority w:val="99"/>
    <w:rPr>
      <w:color w:val="72ACE8"/>
      <w:u w:val="single"/>
    </w:rPr>
  </w:style>
  <w:style w:type="character" w:styleId="19">
    <w:name w:val="Hyperlink"/>
    <w:basedOn w:val="16"/>
    <w:qFormat/>
    <w:uiPriority w:val="99"/>
    <w:rPr>
      <w:color w:val="72ACE8"/>
      <w:u w:val="single"/>
    </w:rPr>
  </w:style>
  <w:style w:type="character" w:styleId="20">
    <w:name w:val="annotation reference"/>
    <w:basedOn w:val="16"/>
    <w:qFormat/>
    <w:uiPriority w:val="0"/>
    <w:rPr>
      <w:sz w:val="21"/>
      <w:szCs w:val="21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7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8">
    <w:name w:val="批注主题 Char"/>
    <w:basedOn w:val="27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9">
    <w:name w:val="edui-clickable2"/>
    <w:basedOn w:val="16"/>
    <w:qFormat/>
    <w:uiPriority w:val="0"/>
    <w:rPr>
      <w:color w:val="0000FF"/>
      <w:u w:val="single"/>
    </w:rPr>
  </w:style>
  <w:style w:type="character" w:customStyle="1" w:styleId="30">
    <w:name w:val="edui-unclickable"/>
    <w:basedOn w:val="16"/>
    <w:qFormat/>
    <w:uiPriority w:val="0"/>
    <w:rPr>
      <w:color w:val="808080"/>
    </w:rPr>
  </w:style>
  <w:style w:type="character" w:customStyle="1" w:styleId="31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2">
    <w:name w:val="正文首行缩进 Char"/>
    <w:basedOn w:val="31"/>
    <w:link w:val="13"/>
    <w:qFormat/>
    <w:uiPriority w:val="0"/>
  </w:style>
  <w:style w:type="paragraph" w:customStyle="1" w:styleId="33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2562</Words>
  <Characters>2782</Characters>
  <Lines>8</Lines>
  <Paragraphs>2</Paragraphs>
  <TotalTime>1</TotalTime>
  <ScaleCrop>false</ScaleCrop>
  <LinksUpToDate>false</LinksUpToDate>
  <CharactersWithSpaces>2918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2026-04-26T03:57:00Z</cp:lastPrinted>
  <dcterms:modified xsi:type="dcterms:W3CDTF">2026-07-21T04:44:05Z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040C89BE7EAF4508B82463B4B9BC6A83_13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