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5B00B4BA">
      <w:pPr>
        <w:spacing w:before="480" w:after="480" w:line="288" w:lineRule="auto"/>
        <w:ind w:left="0"/>
        <w:jc w:val="center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ascii="Arial" w:hAnsi="Arial" w:eastAsia="等线" w:cs="Arial"/>
          <w:b/>
          <w:sz w:val="52"/>
        </w:rPr>
        <w:t>参数</w:t>
      </w:r>
    </w:p>
    <w:p w14:paraId="7910D11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一、项目基本信息</w:t>
      </w:r>
    </w:p>
    <w:p w14:paraId="02F5F846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1、‌维修设备型号‌：UES-40（高频电刀）</w:t>
      </w:r>
    </w:p>
    <w:p w14:paraId="3893BAE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2、‌设备现状‌：设备存在开机自检失败、数显屏报错报警、1屏4屏不亮无数值的故障。</w:t>
      </w:r>
    </w:p>
    <w:p w14:paraId="06285677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3、‌质量要求‌：维修后设备需达到原厂技术标准及医疗设备安全运行标准，无报错、无故障，满足临床正常使用需求，通过临床使用科室验收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二、维修核心要求</w:t>
      </w:r>
    </w:p>
    <w:p w14:paraId="576B5A1E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1.‌故障修复要求‌：彻底解决开机自检失败、数显屏报错报警、1屏4屏不亮无数值的问题，修复后设备需通过完整开机自检，数显屏显示正常，各屏幕数值准确呈现，无任何报错报警提示。</w:t>
      </w:r>
    </w:p>
    <w:p w14:paraId="445EA7BB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2.‌配件更换要求‌：所有更换的功率驱动控制模块、恒流源控制模块、脉冲控制模块均为原厂全新合格件，适配UES-40型号，无破损、老化、毛刺、划痕等问题，尺寸、接口与原设备完全匹配。</w:t>
      </w:r>
    </w:p>
    <w:p w14:paraId="7AD46F2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3.‌质保与周期要求‌：维修周期为5天，维修完成后提供12个月质保，质保期内因维修或配件质量问题导致的故障，免费提供维修服务。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三、核心维修要求</w:t>
      </w:r>
    </w:p>
    <w:p w14:paraId="1E1ED5C9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配件为原厂全新合格件，适配UES-40型号，无破报无老化，尺寸与UES-40型号完全匹配，更换后设备机自检通过，数显屏显示正常，1屏4屏数值显示准确无报错报警现象、符合原术参数，信号传输、机械传动正常，无卡顿现象、材质符合医疗级标准，无刺、无划痕，设备脉冲输出精准，符合临床用需求，无卡滞、无异常发热情况。</w:t>
      </w:r>
    </w:p>
    <w:p w14:paraId="2B30C076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 xml:space="preserve">维修模块 </w:t>
      </w:r>
    </w:p>
    <w:p w14:paraId="60145E5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功率驱动控制主板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：1.电流输出范围：0-500mA（可根据临床模式精准调</w:t>
      </w:r>
    </w:p>
    <w:p w14:paraId="5618A91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节）：2.电压输出范围：0100V：3.脉冲频率：100Hz-500kHz；4.输出功率精度：+5%以内；5.绝缘电阻：≥100MQ（500VDC）；6.抗电强度：1.5KVAC/1分钟，无击穿、无飞弧。</w:t>
      </w:r>
    </w:p>
    <w:p w14:paraId="0A5BE2A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2、恒流源控制主板：1.恒流输出精度：+2%以内；2.电流调节范围：0</w:t>
      </w:r>
    </w:p>
    <w:p w14:paraId="368D0E4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300mA：3.响应时间≤100ms；4.纹波系数≤1%；5.工作温度：0°C-40°C：6.相对湿度：≤80%（无凝露）</w:t>
      </w:r>
    </w:p>
    <w:p w14:paraId="7BA4F5C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3、脉冲控制主板：1.脉冲宽度调节范围10us-1000us；2.脉冲重复</w:t>
      </w:r>
    </w:p>
    <w:p w14:paraId="29E33AA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频率：1Hz-10kHz；3.脉冲输出一致性：+3%以内；4信号传输延迟：s50us；5</w:t>
      </w:r>
    </w:p>
    <w:p w14:paraId="5087966B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电磁兼容性：符合VY05052012标准：6.防静电等级：+8KV接触放电，+15kV</w:t>
      </w:r>
    </w:p>
    <w:p w14:paraId="0C4DC35E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空气放电。</w:t>
      </w:r>
    </w:p>
    <w:p w14:paraId="29F33B0A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五、维修要求：维修后需满足原厂技术参数并出具检测合格报告，确保信号传输、机械传动正常，无卡顿、漏水等故障</w:t>
      </w:r>
    </w:p>
    <w:p w14:paraId="6A798449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六、质保期≥1年（质保期内人工维修、配件、2小时到场费用由供应商、并提供备用高频电刀主机）。</w:t>
      </w:r>
    </w:p>
    <w:p w14:paraId="2D4D5BD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一、维修核心要求</w:t>
      </w:r>
    </w:p>
    <w:p w14:paraId="4D30C4FA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设备型号：COVIDIEN FORCE EZ-8C</w:t>
      </w:r>
    </w:p>
    <w:p w14:paraId="7F03740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故障精准修复‌针对设备开机自检fail、主机报警且左屏黑屏、主板驱动及保护异常问题，需通过购件维修主板驱动控制、换件维修主板恒流源控制的方式完成修复，修复后设备需完全消除上述故障，恢复正常开机、显示及运行功能。</w:t>
      </w:r>
    </w:p>
    <w:p w14:paraId="20705706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2、维修质保要求‌质保期内因维修质量问题导致的设备故障，需免费提供维修及配件更换服务；维修周期不超过5天，需在投标文件中明确维修进度管控节点。</w:t>
      </w:r>
    </w:p>
    <w:p w14:paraId="6CA03C80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配件标准要求‌</w:t>
      </w:r>
    </w:p>
    <w:p w14:paraId="7BEDFF66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3、所有更换配件需为全新合格件，配件的规格、型号需与ForceEZ-8C设备完全匹配，确保与设备的兼容性。</w:t>
      </w:r>
    </w:p>
    <w:p w14:paraId="5F3413ED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二、技术参数要求</w:t>
      </w:r>
    </w:p>
    <w:p w14:paraId="7382E6F9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1、基础性能参数电源适配‌：支持110V-120V/220V-240V±10%宽幅电压，适配不同地区供电环境；工作温度范围+10℃~+40℃，相对湿度30%~75%（无凝结），大气压力700hPa~1060hPa。</w:t>
      </w:r>
    </w:p>
    <w:p w14:paraId="0EECD65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2、电气安全‌：符合IEC601-1标准，电磁兼容性达IEC601-2-2要求；电刀安全类型为I类、CF型，高频漏电流&lt;150mA，低频漏电流&lt;10μA，电力有效输出功率比≥95。</w:t>
      </w:r>
    </w:p>
    <w:p w14:paraId="53E1069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核心输出：单级模式‌切割：最大功率≥250W，隔离浮地式输出，最大输出功率300W/500Ω；电凝：最大功率120W，具备4种以上低电压模式，喷射式凝血峰值电压达8500V。双极模式‌：最大功率70W，适配颅脑外科、腔镜外科操作。最大输出能力‌：500W/920VA，工作频率300KHz—400KHz。</w:t>
      </w:r>
    </w:p>
    <w:p w14:paraId="75D185F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4、智能功能：智能调节‌：具备电压调节、电弧调节、输出调节技术，搭载功率峰值补偿功能（PPS），支持自动切割、无血切割、喷射电凝等10余种智能模式。</w:t>
      </w:r>
    </w:p>
    <w:p w14:paraId="370C7C99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安全监测‌：配备NESSYΩ中性电极安全系统，实时监测负极板接触电阻，电阻变化超40%时自动停止输出；具备高低频漏电电流监测功能。</w:t>
      </w:r>
    </w:p>
    <w:p w14:paraId="5CB5723A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其他特性‌：主机微电脑控制，支持组织反馈自动调节输出功率，可存储10组程序；支持内镜电切、双路输出、氩气刀等功能升级。</w:t>
      </w:r>
    </w:p>
    <w:p w14:paraId="7075A83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三、投标相关要求</w:t>
      </w:r>
    </w:p>
    <w:p w14:paraId="7ADCDCE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1、资质要求‌投标人需具备医疗设备维修相关资质，拥有原厂授权维修资质优先，需提供近3年同类高频电刀维修案例及客户证明。</w:t>
      </w:r>
    </w:p>
    <w:p w14:paraId="20209F2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2、响应要求‌需在2小时内响应故障报修需求，48小时内给出明确的维修方案及进度安排。</w:t>
      </w:r>
    </w:p>
    <w:p w14:paraId="111C885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3、验收标准‌：维修完成后，需配合采购方完成设备性能测试，测试内容涵盖开机自检、屏幕显示、主板驱动及保护功能、核心输出参数等，测试合格后方可通过验收。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四、维修要求：维修后需满足原厂技术参数并出具检测合格报告，确保信号传输、机械传动正常，无卡顿、漏水等故障</w:t>
      </w:r>
    </w:p>
    <w:p w14:paraId="02EBAF07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五、质保期≥1年（质保期内人工维修、配件、2小时到场费用由供应商、并提供备用高频电刀主机）。</w:t>
      </w:r>
    </w:p>
    <w:p w14:paraId="5227AE8E">
      <w:pPr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5BB7842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797A9C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8C2FC3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D1A6FAA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CB0F04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3F4A1F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3580</Words>
  <Characters>3928</Characters>
  <Lines>8</Lines>
  <Paragraphs>2</Paragraphs>
  <TotalTime>7</TotalTime>
  <ScaleCrop>false</ScaleCrop>
  <LinksUpToDate>false</LinksUpToDate>
  <CharactersWithSpaces>4043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2026-07-21T00:18:00Z</cp:lastPrinted>
  <dcterms:modified xsi:type="dcterms:W3CDTF">2026-07-21T04:48:15Z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E748C0317AF348D18D9988FD7C121CCB_13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