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  <w:bookmarkStart w:id="0" w:name="_GoBack"/>
      <w:bookmarkEnd w:id="0"/>
    </w:p>
    <w:p w14:paraId="5227AE8E">
      <w:pPr>
        <w:rPr>
          <w:rFonts w:hint="default" w:ascii="宋体" w:hAnsi="宋体" w:eastAsia="宋体" w:cs="宋体"/>
          <w:bCs/>
          <w:sz w:val="24"/>
          <w:lang w:val="en-US" w:eastAsia="zh-CN"/>
        </w:rPr>
      </w:pPr>
    </w:p>
    <w:p w14:paraId="4A30E233">
      <w:pPr>
        <w:jc w:val="center"/>
        <w:rPr>
          <w:b/>
        </w:rPr>
      </w:pPr>
      <w:r>
        <w:rPr>
          <w:rFonts w:hint="eastAsia"/>
          <w:sz w:val="44"/>
          <w:szCs w:val="44"/>
          <w:lang w:val="en-US" w:eastAsia="zh-CN"/>
        </w:rPr>
        <w:t>技术参数</w:t>
      </w:r>
    </w:p>
    <w:p w14:paraId="52336DD9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采购及施工内容</w:t>
      </w:r>
    </w:p>
    <w:p w14:paraId="4D120E5D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1. 反渗透膜关键性能参数</w:t>
      </w:r>
    </w:p>
    <w:p w14:paraId="6A2E31CC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（1）‌产水量‌：2600 GPD（9.8 m³/d），偏差范围±15%</w:t>
      </w:r>
    </w:p>
    <w:p w14:paraId="321DCE2D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（2）‌脱盐率‌：公称 99.3%，最低 99.0%（基于 1500 mg/L NaCl）</w:t>
      </w:r>
    </w:p>
    <w:p w14:paraId="470CF0AD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（3）‌有效膜面积‌：85 ft²（7.9 m²）</w:t>
      </w:r>
    </w:p>
    <w:p w14:paraId="3D413E0F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（4）‌膜结构‌：卷式芳香聚酰胺复合膜</w:t>
      </w:r>
    </w:p>
    <w:p w14:paraId="21324A41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（5）‌测试条件‌：压力 150 psi (1.03 MPa)、温度 77°F (25℃)、回收率 15%、pH 6.5-7.0、1500 mg/L NaCl 溶液</w:t>
      </w:r>
    </w:p>
    <w:p w14:paraId="04A6D337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2. 软化阳离子交换树脂更换</w:t>
      </w:r>
    </w:p>
    <w:p w14:paraId="099699BC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（1）‌骨架结构‌：苯乙烯 - 二乙烯苯共聚体（交联度 7%）</w:t>
      </w:r>
    </w:p>
    <w:p w14:paraId="70884477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（2)‌功能基团‌：磺酸基 (-SO₃H)</w:t>
      </w:r>
    </w:p>
    <w:p w14:paraId="7B214BD4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（3）‌体积全交换容量‌：≥1.9 mmol/mL (eq/L)</w:t>
      </w:r>
    </w:p>
    <w:p w14:paraId="3B1322EF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（4）‌质量全交换容量‌：≥4.5 mmol/g</w:t>
      </w:r>
    </w:p>
    <w:p w14:paraId="0A73D4C2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（5）‌含水量‌：45%~53%</w:t>
      </w:r>
    </w:p>
    <w:p w14:paraId="62E957B1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（6）‌湿视密度‌：0.77~0.87 g/mL</w:t>
      </w:r>
    </w:p>
    <w:p w14:paraId="08BEF943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（7）‌湿真密度‌：1.24~1.28 g/mL</w:t>
      </w:r>
    </w:p>
    <w:p w14:paraId="52DB8FB0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（8）‌粒度范围‌：0.315~1.25 mm（占比≥95%）</w:t>
      </w:r>
    </w:p>
    <w:p w14:paraId="62AFA94E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（9）‌有效粒径‌：0.40~0.60 mm</w:t>
      </w:r>
    </w:p>
    <w:p w14:paraId="371539C5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（10）‌均一系数‌：≤1.6</w:t>
      </w:r>
    </w:p>
    <w:p w14:paraId="108A46A7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（11）‌磨后圆球率‌：≥90%</w:t>
      </w:r>
    </w:p>
    <w:p w14:paraId="157EAA91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（12）‌使用温度上限‌：钠型≤120℃，氢型≤120℃</w:t>
      </w:r>
    </w:p>
    <w:p w14:paraId="37403D94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（12）‌pH 适用范围‌：0~14</w:t>
      </w:r>
    </w:p>
    <w:p w14:paraId="599D0F59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（13）‌转型膨胀率 (Na⁺→H⁺)‌：≤10%</w:t>
      </w:r>
    </w:p>
    <w:p w14:paraId="15B5B428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3. 椰壳活性炭滤料整体更换</w:t>
      </w:r>
    </w:p>
    <w:p w14:paraId="435D2DD2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（1）强度：≥90-95%（椰壳/果壳类较高）</w:t>
      </w:r>
    </w:p>
    <w:p w14:paraId="5B29F110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（2）水分：≤5-10%</w:t>
      </w:r>
    </w:p>
    <w:p w14:paraId="219E8B93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（3）灰分：≤5%</w:t>
      </w:r>
    </w:p>
    <w:p w14:paraId="080802B2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（4）充填密度：约 0.45-0.65 g/ml</w:t>
      </w:r>
    </w:p>
    <w:p w14:paraId="640C7AF1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（5）pH值：根据用途不同，通常在5-11之间</w:t>
      </w:r>
    </w:p>
    <w:p w14:paraId="119DB843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</w:p>
    <w:p w14:paraId="4741338F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4. 锰砂滤料更换与级配重构</w:t>
      </w:r>
    </w:p>
    <w:p w14:paraId="3E9BC6D5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重新铺设高精度锰砂滤层，严格按照水力滤速、截污层级、孔隙率标准完成分层级配，重建预处理精密截留屏障。</w:t>
      </w:r>
    </w:p>
    <w:p w14:paraId="36F9ADD0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二、服务商资质及技术要求</w:t>
      </w:r>
    </w:p>
    <w:p w14:paraId="0671DE8A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1. 服务商须具备医用纯水设备专项运维施工经验，熟悉医院检验、供应室纯水系统工艺流程，具备同类医疗机构整套滤材更换成功案例。</w:t>
      </w:r>
    </w:p>
    <w:p w14:paraId="05E20CA9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2. 配备专业持证运维技术人员，可独立完成膜系统调试、树脂再生、滤层级配、系统水力平衡、水质标定、管路消毒全套精密工艺。</w:t>
      </w:r>
    </w:p>
    <w:p w14:paraId="42EE09DD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3. 所投反渗透膜、离子交换树脂、椰壳活性炭、精密蒙砂滤料均为医用级高标准材质，适配医疗纯水连续运行工况，提供产品资质、检测报告、质量溯源资料。</w:t>
      </w:r>
    </w:p>
    <w:p w14:paraId="4AA3FC46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4. 具备系统故障预判、水力参数调校、水质异常整改能力，杜绝更换后出现堵膜、水质波动、系统压降异常等次生故障。</w:t>
      </w:r>
    </w:p>
    <w:p w14:paraId="46C338C0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5. 提供完整施工方案、安全作业方案、水质验收报告、竣工运维档案，质保期内提供系统稳态运维技术支持。</w:t>
      </w:r>
    </w:p>
    <w:p w14:paraId="4E10BCAA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6.系统运行稳定后，检验科、供应室终端用水电导率、电阻率、水体硬度、余氯、浊度、微生物指标全部符合《医用纯水系统技术要求》《消毒供应中心清洗用水规范》标准，满足临床检验、器械精洗、灭菌配套用水需求。</w:t>
      </w:r>
    </w:p>
    <w:p w14:paraId="5C2E37E0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7.  贵单位需具备相应医疗设备维修资质(提供资质复印件加盖公  章),维修技术人员需持有相关专业资格证书，确保维修操作符合医疗设备安全 管理相关规范。</w:t>
      </w:r>
    </w:p>
    <w:p w14:paraId="767A4F56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8.   维修后设备需达到原厂标准及临床使用要求，性能稳定、检测 精准，能够正常投入临床诊疗工作，维修部位质保期不少于24个月。</w:t>
      </w:r>
    </w:p>
    <w:p w14:paraId="208BA1D0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9.  维修所需配件需为原厂正品标准合格配件，严禁使用假冒伪劣配件，若使用非原厂配件需提前书面告知我方，经我方确认后方可使用。</w:t>
      </w:r>
    </w:p>
    <w:p w14:paraId="42B13CB5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10.  接到我方维修通知后，服务商需在1小时内响应，2小时内到达现场，并在1工作日内完成维修,费用由供应商。</w:t>
      </w:r>
    </w:p>
    <w:p w14:paraId="09AC40AD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三、其他要求</w:t>
      </w:r>
    </w:p>
    <w:p w14:paraId="24678185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将原设备现有水样采集口拆除，更换为适应科室需求的最新标准取样口，费用供应商承担。</w:t>
      </w:r>
    </w:p>
    <w:p w14:paraId="6BC8CACD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无偿为科室提供一套福禄克纯水检测仪一台使用期限由院方决定。</w:t>
      </w:r>
    </w:p>
    <w:p w14:paraId="35A55170">
      <w:pPr>
        <w:rPr>
          <w:rFonts w:hint="default" w:ascii="宋体" w:hAnsi="宋体" w:eastAsia="宋体" w:cs="宋体"/>
          <w:b/>
          <w:bCs w:val="0"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8"/>
      </w:rPr>
      <w:instrText xml:space="preserve"> PAGE  </w:instrText>
    </w:r>
    <w:r>
      <w:fldChar w:fldCharType="separate"/>
    </w:r>
    <w:r>
      <w:rPr>
        <w:rStyle w:val="18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85E416C"/>
    <w:rsid w:val="09122449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79508F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5E69C4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E733DF2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5876226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8EB16C1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0824E6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294560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5FB05F25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9E74E55"/>
    <w:rsid w:val="7A3F4A1F"/>
    <w:rsid w:val="7AA77361"/>
    <w:rsid w:val="7AEE2DFC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4D5457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8"/>
    <w:qFormat/>
    <w:uiPriority w:val="0"/>
    <w:pPr>
      <w:jc w:val="left"/>
    </w:pPr>
  </w:style>
  <w:style w:type="paragraph" w:styleId="6">
    <w:name w:val="Body Text"/>
    <w:basedOn w:val="1"/>
    <w:link w:val="32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5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9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3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page number"/>
    <w:qFormat/>
    <w:uiPriority w:val="0"/>
    <w:rPr>
      <w:rFonts w:ascii="Times New Roman" w:hAnsi="Times New Roman" w:eastAsia="宋体" w:cs="Times New Roman"/>
    </w:rPr>
  </w:style>
  <w:style w:type="character" w:styleId="19">
    <w:name w:val="FollowedHyperlink"/>
    <w:basedOn w:val="16"/>
    <w:qFormat/>
    <w:uiPriority w:val="99"/>
    <w:rPr>
      <w:color w:val="72ACE8"/>
      <w:u w:val="single"/>
    </w:rPr>
  </w:style>
  <w:style w:type="character" w:styleId="20">
    <w:name w:val="Hyperlink"/>
    <w:basedOn w:val="16"/>
    <w:qFormat/>
    <w:uiPriority w:val="99"/>
    <w:rPr>
      <w:color w:val="72ACE8"/>
      <w:u w:val="single"/>
    </w:rPr>
  </w:style>
  <w:style w:type="character" w:styleId="21">
    <w:name w:val="annotation reference"/>
    <w:basedOn w:val="16"/>
    <w:qFormat/>
    <w:uiPriority w:val="0"/>
    <w:rPr>
      <w:sz w:val="21"/>
      <w:szCs w:val="21"/>
    </w:rPr>
  </w:style>
  <w:style w:type="paragraph" w:styleId="22">
    <w:name w:val="List Paragraph"/>
    <w:basedOn w:val="1"/>
    <w:qFormat/>
    <w:uiPriority w:val="99"/>
    <w:pPr>
      <w:ind w:firstLine="420" w:firstLineChars="200"/>
    </w:pPr>
  </w:style>
  <w:style w:type="character" w:customStyle="1" w:styleId="23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6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8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9">
    <w:name w:val="批注主题 Char"/>
    <w:basedOn w:val="28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30">
    <w:name w:val="edui-clickable2"/>
    <w:basedOn w:val="16"/>
    <w:qFormat/>
    <w:uiPriority w:val="0"/>
    <w:rPr>
      <w:color w:val="0000FF"/>
      <w:u w:val="single"/>
    </w:rPr>
  </w:style>
  <w:style w:type="character" w:customStyle="1" w:styleId="31">
    <w:name w:val="edui-unclickable"/>
    <w:basedOn w:val="16"/>
    <w:qFormat/>
    <w:uiPriority w:val="0"/>
    <w:rPr>
      <w:color w:val="808080"/>
    </w:rPr>
  </w:style>
  <w:style w:type="character" w:customStyle="1" w:styleId="32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3">
    <w:name w:val="正文首行缩进 Char"/>
    <w:basedOn w:val="32"/>
    <w:link w:val="13"/>
    <w:qFormat/>
    <w:uiPriority w:val="0"/>
  </w:style>
  <w:style w:type="paragraph" w:customStyle="1" w:styleId="34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2949</Words>
  <Characters>3216</Characters>
  <Lines>8</Lines>
  <Paragraphs>2</Paragraphs>
  <TotalTime>3</TotalTime>
  <ScaleCrop>false</ScaleCrop>
  <LinksUpToDate>false</LinksUpToDate>
  <CharactersWithSpaces>3336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2026-08-27T01:22:00Z</cp:lastPrinted>
  <dcterms:modified xsi:type="dcterms:W3CDTF">2026-09-07T03:02:59Z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E887515D7EBB483FAB67838BA32BB1E7_13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