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2BEB9">
      <w:pPr>
        <w:pStyle w:val="5"/>
        <w:widowControl/>
        <w:shd w:val="clear" w:color="auto" w:fill="FFFFFF"/>
        <w:spacing w:before="75" w:beforeAutospacing="0" w:after="75" w:afterAutospacing="0"/>
        <w:jc w:val="center"/>
        <w:rPr>
          <w:rFonts w:ascii="黑体" w:hAnsi="黑体" w:eastAsia="黑体" w:cs="黑体"/>
          <w:color w:val="333333"/>
          <w:spacing w:val="-1"/>
          <w:sz w:val="33"/>
          <w:szCs w:val="33"/>
          <w:shd w:val="clear" w:color="auto" w:fill="FFFFFF"/>
        </w:rPr>
      </w:pPr>
    </w:p>
    <w:p w14:paraId="367B8F02">
      <w:pPr>
        <w:pStyle w:val="5"/>
        <w:widowControl/>
        <w:shd w:val="clear" w:color="auto" w:fill="FFFFFF"/>
        <w:spacing w:before="75" w:beforeAutospacing="0" w:after="75" w:afterAutospacing="0"/>
        <w:jc w:val="center"/>
        <w:rPr>
          <w:rFonts w:ascii="黑体" w:hAnsi="黑体" w:eastAsia="黑体" w:cs="黑体"/>
          <w:color w:val="333333"/>
          <w:spacing w:val="-1"/>
          <w:sz w:val="33"/>
          <w:szCs w:val="33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pacing w:val="-1"/>
          <w:sz w:val="33"/>
          <w:szCs w:val="33"/>
          <w:shd w:val="clear" w:color="auto" w:fill="FFFFFF"/>
        </w:rPr>
        <w:t>关于推荐202</w:t>
      </w:r>
      <w:r>
        <w:rPr>
          <w:rFonts w:ascii="黑体" w:hAnsi="黑体" w:eastAsia="黑体" w:cs="黑体"/>
          <w:color w:val="333333"/>
          <w:spacing w:val="-1"/>
          <w:sz w:val="33"/>
          <w:szCs w:val="33"/>
          <w:shd w:val="clear" w:color="auto" w:fill="FFFFFF"/>
        </w:rPr>
        <w:t>5</w:t>
      </w:r>
      <w:r>
        <w:rPr>
          <w:rFonts w:hint="eastAsia" w:ascii="黑体" w:hAnsi="黑体" w:eastAsia="黑体" w:cs="黑体"/>
          <w:color w:val="333333"/>
          <w:spacing w:val="-1"/>
          <w:sz w:val="33"/>
          <w:szCs w:val="33"/>
          <w:shd w:val="clear" w:color="auto" w:fill="FFFFFF"/>
        </w:rPr>
        <w:t>年度北京市科学技术奖科学技术进步奖候选项目公示</w:t>
      </w:r>
    </w:p>
    <w:p w14:paraId="3D2A045D">
      <w:pPr>
        <w:pStyle w:val="5"/>
        <w:widowControl/>
        <w:shd w:val="clear" w:color="auto" w:fill="FFFFFF"/>
        <w:spacing w:before="75" w:beforeAutospacing="0" w:after="75" w:afterAutospacing="0"/>
        <w:jc w:val="center"/>
        <w:rPr>
          <w:rFonts w:ascii="黑体" w:hAnsi="黑体" w:eastAsia="黑体" w:cs="黑体"/>
          <w:color w:val="333333"/>
          <w:spacing w:val="-1"/>
          <w:sz w:val="33"/>
          <w:szCs w:val="33"/>
          <w:shd w:val="clear" w:color="auto" w:fill="FFFFFF"/>
        </w:rPr>
      </w:pPr>
    </w:p>
    <w:p w14:paraId="0FF625F3">
      <w:pPr>
        <w:pStyle w:val="5"/>
        <w:widowControl/>
        <w:shd w:val="clear" w:color="auto" w:fill="FFFFFF"/>
        <w:spacing w:before="75" w:beforeAutospacing="0" w:after="75" w:afterAutospacing="0"/>
        <w:ind w:firstLine="355" w:firstLineChars="128"/>
        <w:rPr>
          <w:rFonts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我单位推荐下列项目申报202</w:t>
      </w:r>
      <w:r>
        <w:rPr>
          <w:rFonts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年度北京市科学技术奖科学技术进步奖，特进行公示。公示期：202</w:t>
      </w:r>
      <w:r>
        <w:rPr>
          <w:rFonts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日至202</w:t>
      </w:r>
      <w:r>
        <w:rPr>
          <w:rFonts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月1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  <w:lang w:val="en-US" w:eastAsia="zh-CN"/>
        </w:rPr>
        <w:t>8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日，公示期内如对公示内容有异议，请您向呼和浩特市第一医院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  <w:lang w:val="en-US" w:eastAsia="zh-CN"/>
        </w:rPr>
        <w:t>科研部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反映。</w:t>
      </w:r>
    </w:p>
    <w:p w14:paraId="251F5A0D">
      <w:pPr>
        <w:pStyle w:val="5"/>
        <w:widowControl/>
        <w:shd w:val="clear" w:color="auto" w:fill="FFFFFF"/>
        <w:spacing w:before="75" w:beforeAutospacing="0" w:after="75" w:afterAutospacing="0"/>
        <w:ind w:firstLine="419" w:firstLineChars="151"/>
        <w:jc w:val="both"/>
        <w:rPr>
          <w:rFonts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联系人：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  <w:lang w:val="en-US" w:eastAsia="zh-CN"/>
        </w:rPr>
        <w:t>牟永平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，联系电话：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  <w:lang w:val="en-US" w:eastAsia="zh-CN"/>
        </w:rPr>
        <w:t>0471-5281819</w:t>
      </w:r>
      <w:r>
        <w:rPr>
          <w:rFonts w:hint="eastAsia"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  <w:t>。</w:t>
      </w:r>
    </w:p>
    <w:p w14:paraId="3ECE6FBA">
      <w:pPr>
        <w:adjustRightInd w:val="0"/>
        <w:snapToGrid w:val="0"/>
        <w:spacing w:line="360" w:lineRule="auto"/>
        <w:rPr>
          <w:rFonts w:ascii="仿宋" w:hAnsi="仿宋" w:eastAsia="仿宋" w:cs="仿宋"/>
          <w:bCs/>
          <w:kern w:val="0"/>
          <w:sz w:val="24"/>
        </w:rPr>
      </w:pPr>
    </w:p>
    <w:p w14:paraId="10A10598">
      <w:pPr>
        <w:adjustRightInd w:val="0"/>
        <w:snapToGrid w:val="0"/>
        <w:spacing w:line="360" w:lineRule="auto"/>
        <w:ind w:firstLine="656" w:firstLineChars="200"/>
        <w:jc w:val="right"/>
        <w:rPr>
          <w:rFonts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</w:pPr>
      <w:r>
        <w:rPr>
          <w:rFonts w:hint="eastAsia" w:ascii="仿宋" w:hAnsi="仿宋" w:eastAsia="仿宋" w:cs="仿宋"/>
          <w:color w:val="333333"/>
          <w:spacing w:val="-1"/>
          <w:sz w:val="33"/>
          <w:szCs w:val="33"/>
          <w:shd w:val="clear" w:color="auto" w:fill="FFFFFF"/>
        </w:rPr>
        <w:t>                                    </w:t>
      </w:r>
      <w:r>
        <w:rPr>
          <w:rFonts w:ascii="Calibri" w:hAnsi="Calibri" w:eastAsia="仿宋" w:cs="Calibri"/>
          <w:color w:val="333333"/>
          <w:spacing w:val="-1"/>
          <w:kern w:val="0"/>
          <w:sz w:val="28"/>
          <w:szCs w:val="28"/>
          <w:shd w:val="clear" w:color="auto" w:fill="FFFFFF"/>
        </w:rPr>
        <w:t> </w:t>
      </w:r>
      <w:r>
        <w:rPr>
          <w:rFonts w:hint="eastAsia"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  <w:t>呼和浩特市第一医院</w:t>
      </w:r>
    </w:p>
    <w:p w14:paraId="0C605597">
      <w:pPr>
        <w:adjustRightInd w:val="0"/>
        <w:snapToGrid w:val="0"/>
        <w:spacing w:line="360" w:lineRule="auto"/>
        <w:ind w:firstLine="556" w:firstLineChars="200"/>
        <w:jc w:val="right"/>
        <w:rPr>
          <w:rFonts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</w:pPr>
      <w:r>
        <w:rPr>
          <w:rFonts w:ascii="Calibri" w:hAnsi="Calibri" w:eastAsia="仿宋" w:cs="Calibri"/>
          <w:color w:val="333333"/>
          <w:spacing w:val="-1"/>
          <w:kern w:val="0"/>
          <w:sz w:val="28"/>
          <w:szCs w:val="28"/>
          <w:shd w:val="clear" w:color="auto" w:fill="FFFFFF"/>
        </w:rPr>
        <w:t>                                     </w:t>
      </w:r>
      <w:r>
        <w:rPr>
          <w:rFonts w:hint="eastAsia"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  <w:t>202</w:t>
      </w:r>
      <w:r>
        <w:rPr>
          <w:rFonts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  <w:t>5</w:t>
      </w:r>
      <w:r>
        <w:rPr>
          <w:rFonts w:hint="eastAsia"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  <w:t>年</w:t>
      </w:r>
      <w:r>
        <w:rPr>
          <w:rFonts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  <w:t>6</w:t>
      </w:r>
      <w:r>
        <w:rPr>
          <w:rFonts w:hint="eastAsia"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  <w:t>月</w:t>
      </w:r>
      <w:r>
        <w:rPr>
          <w:rFonts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  <w:t>1</w:t>
      </w:r>
      <w:r>
        <w:rPr>
          <w:rFonts w:hint="eastAsia"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  <w:lang w:val="en-US" w:eastAsia="zh-CN"/>
        </w:rPr>
        <w:t>1</w:t>
      </w:r>
      <w:r>
        <w:rPr>
          <w:rFonts w:hint="eastAsia" w:ascii="仿宋" w:hAnsi="仿宋" w:eastAsia="仿宋" w:cs="仿宋"/>
          <w:color w:val="333333"/>
          <w:spacing w:val="-1"/>
          <w:kern w:val="0"/>
          <w:sz w:val="28"/>
          <w:szCs w:val="28"/>
          <w:shd w:val="clear" w:color="auto" w:fill="FFFFFF"/>
        </w:rPr>
        <w:t>日</w:t>
      </w:r>
    </w:p>
    <w:p w14:paraId="66C02C43">
      <w:pPr>
        <w:pStyle w:val="5"/>
        <w:widowControl/>
        <w:shd w:val="clear" w:color="auto" w:fill="FFFFFF"/>
        <w:spacing w:before="75" w:beforeAutospacing="0" w:after="75" w:afterAutospacing="0"/>
        <w:jc w:val="both"/>
        <w:rPr>
          <w:rFonts w:ascii="仿宋" w:hAnsi="仿宋" w:eastAsia="仿宋" w:cs="仿宋"/>
          <w:color w:val="333333"/>
          <w:spacing w:val="-1"/>
          <w:sz w:val="28"/>
          <w:szCs w:val="28"/>
          <w:shd w:val="clear" w:color="auto" w:fill="FFFFFF"/>
        </w:rPr>
      </w:pPr>
      <w:bookmarkStart w:id="5" w:name="_GoBack"/>
      <w:bookmarkEnd w:id="5"/>
    </w:p>
    <w:p w14:paraId="018071B7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03B84542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3C546FDB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3C231BB2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26514AF5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6AE7331A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378FEC52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3C8F09D6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5E92E114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26E75D69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color w:val="000000"/>
          <w:kern w:val="0"/>
          <w:sz w:val="24"/>
        </w:rPr>
      </w:pPr>
    </w:p>
    <w:p w14:paraId="756EFF32">
      <w:pPr>
        <w:adjustRightInd w:val="0"/>
        <w:snapToGrid w:val="0"/>
        <w:spacing w:before="156" w:beforeLines="50" w:after="156" w:afterLines="50" w:line="400" w:lineRule="exact"/>
        <w:rPr>
          <w:rFonts w:ascii="仿宋" w:hAnsi="仿宋" w:eastAsia="仿宋" w:cs="仿宋"/>
          <w:color w:val="000000"/>
          <w:kern w:val="0"/>
          <w:sz w:val="24"/>
        </w:rPr>
      </w:pPr>
      <w:r>
        <w:rPr>
          <w:rFonts w:hint="eastAsia" w:ascii="仿宋" w:hAnsi="仿宋" w:eastAsia="仿宋" w:cs="仿宋"/>
          <w:color w:val="000000"/>
          <w:kern w:val="0"/>
          <w:sz w:val="24"/>
        </w:rPr>
        <w:t>附：公示内容</w:t>
      </w:r>
    </w:p>
    <w:p w14:paraId="3E4120D8">
      <w:pPr>
        <w:adjustRightInd w:val="0"/>
        <w:snapToGrid w:val="0"/>
        <w:spacing w:before="156" w:beforeLines="50" w:after="156" w:afterLines="50" w:line="400" w:lineRule="exact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项目名称：</w:t>
      </w:r>
      <w:r>
        <w:rPr>
          <w:rFonts w:hint="eastAsia" w:ascii="仿宋" w:hAnsi="仿宋" w:eastAsia="仿宋" w:cs="仿宋"/>
          <w:bCs/>
          <w:kern w:val="0"/>
          <w:sz w:val="24"/>
        </w:rPr>
        <w:t>中国北方花粉过敏性疾病“五位一体”精准防控体系的创建和推广应用</w:t>
      </w:r>
    </w:p>
    <w:p w14:paraId="6395C5B9">
      <w:pPr>
        <w:adjustRightInd w:val="0"/>
        <w:snapToGrid w:val="0"/>
        <w:spacing w:before="156" w:beforeLines="50" w:after="156" w:afterLines="50" w:line="400" w:lineRule="exact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候选单位（含排序）</w:t>
      </w:r>
      <w:r>
        <w:rPr>
          <w:rFonts w:hint="eastAsia" w:ascii="仿宋" w:hAnsi="仿宋" w:eastAsia="仿宋" w:cs="仿宋"/>
          <w:bCs/>
          <w:kern w:val="0"/>
          <w:sz w:val="24"/>
        </w:rPr>
        <w:t>：1、</w:t>
      </w:r>
      <w:r>
        <w:rPr>
          <w:rFonts w:hint="eastAsia" w:ascii="仿宋" w:hAnsi="仿宋" w:eastAsia="仿宋"/>
          <w:sz w:val="24"/>
          <w:szCs w:val="32"/>
        </w:rPr>
        <w:t>首都医科大学附属北京世纪坛医院，2、首都医科大学附属北京同仁医院，3、中国医学科学院北京协和医院，</w:t>
      </w:r>
      <w:r>
        <w:rPr>
          <w:rFonts w:ascii="仿宋" w:hAnsi="仿宋" w:eastAsia="仿宋"/>
          <w:sz w:val="24"/>
          <w:szCs w:val="32"/>
        </w:rPr>
        <w:t>4</w:t>
      </w:r>
      <w:r>
        <w:rPr>
          <w:rFonts w:hint="eastAsia" w:ascii="仿宋" w:hAnsi="仿宋" w:eastAsia="仿宋"/>
          <w:sz w:val="24"/>
          <w:szCs w:val="32"/>
        </w:rPr>
        <w:t>、南京医科大学第一附属医院，5、浙江大学，6、中国气象科学研究院，7、首都医科大学附属北京儿童医院，</w:t>
      </w:r>
      <w:r>
        <w:rPr>
          <w:rFonts w:ascii="仿宋" w:hAnsi="仿宋" w:eastAsia="仿宋"/>
          <w:sz w:val="24"/>
          <w:szCs w:val="32"/>
        </w:rPr>
        <w:t>8</w:t>
      </w:r>
      <w:r>
        <w:rPr>
          <w:rFonts w:hint="eastAsia" w:ascii="仿宋" w:hAnsi="仿宋" w:eastAsia="仿宋"/>
          <w:sz w:val="24"/>
          <w:szCs w:val="32"/>
        </w:rPr>
        <w:t>、呼和浩特市第一医院</w:t>
      </w:r>
      <w:r>
        <w:rPr>
          <w:rFonts w:hint="eastAsia" w:ascii="仿宋" w:hAnsi="仿宋" w:eastAsia="仿宋" w:cs="仿宋"/>
          <w:bCs/>
          <w:kern w:val="0"/>
          <w:sz w:val="24"/>
        </w:rPr>
        <w:t xml:space="preserve"> </w:t>
      </w:r>
    </w:p>
    <w:p w14:paraId="03CF4073">
      <w:pPr>
        <w:adjustRightInd w:val="0"/>
        <w:snapToGrid w:val="0"/>
        <w:spacing w:before="156" w:beforeLines="50" w:after="156" w:afterLines="50" w:line="400" w:lineRule="exact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候选人（含排序）</w:t>
      </w:r>
      <w:r>
        <w:rPr>
          <w:rFonts w:hint="eastAsia" w:ascii="仿宋" w:hAnsi="仿宋" w:eastAsia="仿宋" w:cs="仿宋"/>
          <w:bCs/>
          <w:kern w:val="0"/>
          <w:sz w:val="24"/>
        </w:rPr>
        <w:t>：1、王学艳，2、马琳，3、马婷婷，4、高中山，5、张罗，6、程雷，7、王良录，8、王洪田，9、孙兆彬，1</w:t>
      </w:r>
      <w:r>
        <w:rPr>
          <w:rFonts w:ascii="仿宋" w:hAnsi="仿宋" w:eastAsia="仿宋" w:cs="仿宋"/>
          <w:bCs/>
          <w:kern w:val="0"/>
          <w:sz w:val="24"/>
        </w:rPr>
        <w:t>0</w:t>
      </w:r>
      <w:r>
        <w:rPr>
          <w:rFonts w:hint="eastAsia" w:ascii="仿宋" w:hAnsi="仿宋" w:eastAsia="仿宋" w:cs="仿宋"/>
          <w:bCs/>
          <w:kern w:val="0"/>
          <w:sz w:val="24"/>
        </w:rPr>
        <w:t>、张俊晶，1</w:t>
      </w:r>
      <w:r>
        <w:rPr>
          <w:rFonts w:ascii="仿宋" w:hAnsi="仿宋" w:eastAsia="仿宋" w:cs="仿宋"/>
          <w:bCs/>
          <w:kern w:val="0"/>
          <w:sz w:val="24"/>
        </w:rPr>
        <w:t>1</w:t>
      </w:r>
      <w:r>
        <w:rPr>
          <w:rFonts w:hint="eastAsia" w:ascii="仿宋" w:hAnsi="仿宋" w:eastAsia="仿宋" w:cs="仿宋"/>
          <w:bCs/>
          <w:kern w:val="0"/>
          <w:sz w:val="24"/>
        </w:rPr>
        <w:t>、王向东，1</w:t>
      </w:r>
      <w:r>
        <w:rPr>
          <w:rFonts w:ascii="仿宋" w:hAnsi="仿宋" w:eastAsia="仿宋" w:cs="仿宋"/>
          <w:bCs/>
          <w:kern w:val="0"/>
          <w:sz w:val="24"/>
        </w:rPr>
        <w:t>2</w:t>
      </w:r>
      <w:r>
        <w:rPr>
          <w:rFonts w:hint="eastAsia" w:ascii="仿宋" w:hAnsi="仿宋" w:eastAsia="仿宋" w:cs="仿宋"/>
          <w:bCs/>
          <w:kern w:val="0"/>
          <w:sz w:val="24"/>
        </w:rPr>
        <w:t>、关凯，1</w:t>
      </w:r>
      <w:r>
        <w:rPr>
          <w:rFonts w:ascii="仿宋" w:hAnsi="仿宋" w:eastAsia="仿宋" w:cs="仿宋"/>
          <w:bCs/>
          <w:kern w:val="0"/>
          <w:sz w:val="24"/>
        </w:rPr>
        <w:t>3</w:t>
      </w:r>
      <w:r>
        <w:rPr>
          <w:rFonts w:hint="eastAsia" w:ascii="仿宋" w:hAnsi="仿宋" w:eastAsia="仿宋" w:cs="仿宋"/>
          <w:bCs/>
          <w:kern w:val="0"/>
          <w:sz w:val="24"/>
        </w:rPr>
        <w:t>、石海云，1</w:t>
      </w:r>
      <w:r>
        <w:rPr>
          <w:rFonts w:ascii="仿宋" w:hAnsi="仿宋" w:eastAsia="仿宋" w:cs="仿宋"/>
          <w:bCs/>
          <w:kern w:val="0"/>
          <w:sz w:val="24"/>
        </w:rPr>
        <w:t>4</w:t>
      </w:r>
      <w:r>
        <w:rPr>
          <w:rFonts w:hint="eastAsia" w:ascii="仿宋" w:hAnsi="仿宋" w:eastAsia="仿宋" w:cs="仿宋"/>
          <w:bCs/>
          <w:kern w:val="0"/>
          <w:sz w:val="24"/>
        </w:rPr>
        <w:t>、王晓艳，1</w:t>
      </w:r>
      <w:r>
        <w:rPr>
          <w:rFonts w:ascii="仿宋" w:hAnsi="仿宋" w:eastAsia="仿宋" w:cs="仿宋"/>
          <w:bCs/>
          <w:kern w:val="0"/>
          <w:sz w:val="24"/>
        </w:rPr>
        <w:t>5</w:t>
      </w:r>
      <w:r>
        <w:rPr>
          <w:rFonts w:hint="eastAsia" w:ascii="仿宋" w:hAnsi="仿宋" w:eastAsia="仿宋" w:cs="仿宋"/>
          <w:bCs/>
          <w:kern w:val="0"/>
          <w:sz w:val="24"/>
        </w:rPr>
        <w:t>、宁慧宇</w:t>
      </w:r>
    </w:p>
    <w:p w14:paraId="3D84CE2C">
      <w:pPr>
        <w:adjustRightInd w:val="0"/>
        <w:snapToGrid w:val="0"/>
        <w:spacing w:before="156" w:beforeLines="50" w:after="156" w:afterLines="50" w:line="400" w:lineRule="exact"/>
        <w:rPr>
          <w:rFonts w:hint="eastAsia" w:ascii="仿宋" w:hAnsi="仿宋" w:eastAsia="仿宋" w:cs="仿宋"/>
          <w:b/>
          <w:kern w:val="0"/>
          <w:sz w:val="24"/>
        </w:rPr>
      </w:pPr>
    </w:p>
    <w:p w14:paraId="40E82104">
      <w:pPr>
        <w:adjustRightInd w:val="0"/>
        <w:snapToGrid w:val="0"/>
        <w:spacing w:before="156" w:beforeLines="50" w:after="156" w:afterLines="50" w:line="400" w:lineRule="exact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项目简介：</w:t>
      </w:r>
    </w:p>
    <w:p w14:paraId="7D838931">
      <w:pPr>
        <w:adjustRightInd w:val="0"/>
        <w:snapToGrid w:val="0"/>
        <w:spacing w:before="100" w:beforeAutospacing="1" w:line="360" w:lineRule="auto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（一）研究目的和意义</w:t>
      </w:r>
    </w:p>
    <w:p w14:paraId="3A332B51">
      <w:pPr>
        <w:adjustRightInd w:val="0"/>
        <w:snapToGrid w:val="0"/>
        <w:spacing w:before="100" w:beforeAutospacing="1" w:line="360" w:lineRule="auto"/>
        <w:ind w:firstLine="480" w:firstLineChars="200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中国北方致敏花粉量大、花粉症患病率高、专科医生匮乏、规范诊治率低、误诊误治普遍、精准防控体系缺乏，严重危害百姓健康。项目组历时20年，破解民生痛点，创建并推广花粉过敏性疾病“五位一体”精准防控体系（花粉监测、植被调研、流行病学调查、医生培训、公众科普）,推动变态反应学科的建设和发展，形成全社会共同参与的防控格局。</w:t>
      </w:r>
    </w:p>
    <w:p w14:paraId="5811887C">
      <w:pPr>
        <w:adjustRightInd w:val="0"/>
        <w:snapToGrid w:val="0"/>
        <w:spacing w:before="100" w:beforeAutospacing="1" w:line="360" w:lineRule="auto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（二）主要技术创新点</w:t>
      </w:r>
    </w:p>
    <w:p w14:paraId="33ADD085">
      <w:pPr>
        <w:adjustRightInd w:val="0"/>
        <w:snapToGrid w:val="0"/>
        <w:spacing w:before="100" w:beforeAutospacing="1" w:line="360" w:lineRule="auto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1、首次构建中国北方花粉监测网，探明中国北方主要致敏植被分布规律，明确不同地区主要致敏花粉的种类及季节飘散规律。建立186个花粉监测站及致敏植物和花粉标本库；明确柏科花粉是北京春季主要致敏原，蒿属花粉是秋季主要致敏原，修正豚草是草原地区主要致敏原的错误观念。出版业界重要工具书、国际首部中英蒙文专著《中国北方植物花粉调研》。</w:t>
      </w:r>
    </w:p>
    <w:p w14:paraId="2E253F21">
      <w:pPr>
        <w:adjustRightInd w:val="0"/>
        <w:snapToGrid w:val="0"/>
        <w:spacing w:before="100" w:beforeAutospacing="1" w:line="360" w:lineRule="auto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2、首次开展中国北方花粉过敏性疾病高质量流调研究，并提出花粉高峰期前2周是最佳防治窗口。明确过敏性鼻炎自报患病率32.4%，花粉症确诊患病率18.5%；为医患和政府等不同层面防治提供科学依据。</w:t>
      </w:r>
    </w:p>
    <w:p w14:paraId="65F3B365">
      <w:pPr>
        <w:adjustRightInd w:val="0"/>
        <w:snapToGrid w:val="0"/>
        <w:spacing w:before="100" w:beforeAutospacing="1" w:line="360" w:lineRule="auto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3、全球首次鉴定出蒿属花粉过敏原第7组分，提出过敏原分子精准诊断新靶点。明确蒿属花粉提取物及4个组分IgE滴度值和阳性率的地区分布差异与过敏性疾病症状的关系；通过多组学验证蒿属花粉特异性免疫治疗疗效，发现新的生物标志物；为精准诊疗提供新的技术方案和发展方向。</w:t>
      </w:r>
    </w:p>
    <w:p w14:paraId="513624CC">
      <w:pPr>
        <w:adjustRightInd w:val="0"/>
        <w:snapToGrid w:val="0"/>
        <w:spacing w:before="100" w:beforeAutospacing="1" w:line="360" w:lineRule="auto"/>
        <w:rPr>
          <w:rFonts w:ascii="仿宋" w:hAnsi="仿宋" w:eastAsia="仿宋" w:cs="仿宋"/>
          <w:bCs/>
          <w:kern w:val="0"/>
          <w:sz w:val="24"/>
        </w:rPr>
      </w:pPr>
      <w:r>
        <w:rPr>
          <w:rFonts w:hint="eastAsia" w:ascii="仿宋" w:hAnsi="仿宋" w:eastAsia="仿宋" w:cs="仿宋"/>
          <w:bCs/>
          <w:kern w:val="0"/>
          <w:sz w:val="24"/>
        </w:rPr>
        <w:t>4、创建花粉过敏性疾病“五位一体”精准防控体系，首次建立花粉浓度及其健康影响的格点化预报系统。实现从“以治疗为主”到“预防为先，关口前移”的转变；花粉期前除蒿，27.6%的蒿花粉症患者症状减轻；开发花粉日报APP，指导过敏人群出行；形成政府引导、全民参与的新局面。</w:t>
      </w:r>
    </w:p>
    <w:p w14:paraId="5E68D771">
      <w:pPr>
        <w:adjustRightInd w:val="0"/>
        <w:snapToGrid w:val="0"/>
        <w:spacing w:before="100" w:beforeAutospacing="1" w:line="360" w:lineRule="auto"/>
        <w:rPr>
          <w:rFonts w:ascii="仿宋" w:hAnsi="仿宋" w:eastAsia="仿宋" w:cs="仿宋"/>
          <w:bCs/>
          <w:kern w:val="0"/>
          <w:sz w:val="24"/>
        </w:rPr>
      </w:pPr>
    </w:p>
    <w:p w14:paraId="021DAC54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169698CE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07C64552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3CED574C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22105E9A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6D735DA3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6BC92D6B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030442DE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4B682662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4E4B11D8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43606D2F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</w:rPr>
      </w:pPr>
    </w:p>
    <w:p w14:paraId="7691B9DB">
      <w:pPr>
        <w:adjustRightInd w:val="0"/>
        <w:snapToGrid w:val="0"/>
        <w:spacing w:before="100" w:beforeAutospacing="1" w:line="360" w:lineRule="auto"/>
        <w:rPr>
          <w:rFonts w:hint="eastAsia" w:ascii="仿宋" w:hAnsi="仿宋" w:eastAsia="仿宋" w:cs="仿宋"/>
          <w:b/>
          <w:kern w:val="0"/>
          <w:sz w:val="24"/>
          <w:lang w:eastAsia="zh-CN"/>
        </w:rPr>
      </w:pPr>
    </w:p>
    <w:p w14:paraId="3519F036">
      <w:pPr>
        <w:adjustRightInd w:val="0"/>
        <w:snapToGrid w:val="0"/>
        <w:spacing w:before="100" w:beforeAutospacing="1" w:line="360" w:lineRule="auto"/>
        <w:rPr>
          <w:rFonts w:ascii="仿宋" w:hAnsi="仿宋" w:eastAsia="仿宋" w:cs="仿宋"/>
          <w:b/>
          <w:kern w:val="0"/>
          <w:sz w:val="24"/>
        </w:rPr>
      </w:pPr>
      <w:r>
        <w:rPr>
          <w:rFonts w:hint="eastAsia" w:ascii="仿宋" w:hAnsi="仿宋" w:eastAsia="仿宋" w:cs="仿宋"/>
          <w:b/>
          <w:kern w:val="0"/>
          <w:sz w:val="24"/>
        </w:rPr>
        <w:t>主要支撑材料目录：</w:t>
      </w:r>
    </w:p>
    <w:tbl>
      <w:tblPr>
        <w:tblStyle w:val="6"/>
        <w:tblW w:w="91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8166"/>
      </w:tblGrid>
      <w:tr w14:paraId="311E08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0D614C94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b/>
                <w:bCs/>
                <w:color w:val="000000"/>
              </w:rPr>
              <w:t>序号</w:t>
            </w:r>
          </w:p>
        </w:tc>
        <w:tc>
          <w:tcPr>
            <w:tcW w:w="8166" w:type="dxa"/>
          </w:tcPr>
          <w:p w14:paraId="68C38DA6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b/>
                <w:bCs/>
                <w:color w:val="000000"/>
              </w:rPr>
              <w:t>目录名称</w:t>
            </w:r>
          </w:p>
        </w:tc>
      </w:tr>
      <w:tr w14:paraId="11A9BE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68473E9B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</w:t>
            </w:r>
          </w:p>
        </w:tc>
        <w:tc>
          <w:tcPr>
            <w:tcW w:w="8166" w:type="dxa"/>
          </w:tcPr>
          <w:p w14:paraId="1039BA38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主要知识产权：专利1_</w:t>
            </w:r>
            <w:r>
              <w:rPr>
                <w:rFonts w:hint="eastAsia" w:ascii="楷体_GB2312" w:hAnsi="仿宋" w:eastAsia="楷体_GB2312"/>
              </w:rPr>
              <w:t>一种蒿属植物花粉过敏原组合、应用及试剂盒</w:t>
            </w:r>
          </w:p>
        </w:tc>
      </w:tr>
      <w:tr w14:paraId="090883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37EFABEA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</w:t>
            </w:r>
          </w:p>
        </w:tc>
        <w:tc>
          <w:tcPr>
            <w:tcW w:w="8166" w:type="dxa"/>
          </w:tcPr>
          <w:p w14:paraId="00A30521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主要知识产权：专利2_一种定量蒿属植物花粉中nsLTP过敏原的方法</w:t>
            </w:r>
          </w:p>
        </w:tc>
      </w:tr>
      <w:tr w14:paraId="1E29E3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26AF6E25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</w:t>
            </w:r>
          </w:p>
        </w:tc>
        <w:tc>
          <w:tcPr>
            <w:tcW w:w="8166" w:type="dxa"/>
          </w:tcPr>
          <w:p w14:paraId="33214391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主要知识产权：专利3_</w:t>
            </w:r>
            <w:r>
              <w:rPr>
                <w:rFonts w:hint="eastAsia" w:ascii="楷体_GB2312" w:hAnsi="仿宋" w:eastAsia="楷体_GB2312"/>
              </w:rPr>
              <w:t>适用于花粉多维度信息的预测和管理方法及系统</w:t>
            </w:r>
          </w:p>
        </w:tc>
      </w:tr>
      <w:tr w14:paraId="656F88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48137603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4</w:t>
            </w:r>
          </w:p>
        </w:tc>
        <w:tc>
          <w:tcPr>
            <w:tcW w:w="8166" w:type="dxa"/>
          </w:tcPr>
          <w:p w14:paraId="2DA31BD5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主要知识产权：专利4_</w:t>
            </w:r>
            <w:r>
              <w:rPr>
                <w:rFonts w:hint="eastAsia" w:ascii="楷体_GB2312" w:hAnsi="仿宋" w:eastAsia="楷体_GB2312"/>
              </w:rPr>
              <w:t>一种花粉监测采样器</w:t>
            </w:r>
          </w:p>
        </w:tc>
      </w:tr>
      <w:tr w14:paraId="34507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02C72ED7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5</w:t>
            </w:r>
          </w:p>
        </w:tc>
        <w:tc>
          <w:tcPr>
            <w:tcW w:w="8166" w:type="dxa"/>
          </w:tcPr>
          <w:p w14:paraId="2E5CAC72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主要知识产权：专利5_</w:t>
            </w:r>
            <w:r>
              <w:rPr>
                <w:rFonts w:hint="eastAsia" w:ascii="楷体_GB2312" w:hAnsi="仿宋" w:eastAsia="楷体_GB2312"/>
              </w:rPr>
              <w:t>一种多功能硅胶眼镜防护套</w:t>
            </w:r>
          </w:p>
        </w:tc>
      </w:tr>
      <w:tr w14:paraId="33A225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0CE77D04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6</w:t>
            </w:r>
          </w:p>
        </w:tc>
        <w:tc>
          <w:tcPr>
            <w:tcW w:w="8166" w:type="dxa"/>
          </w:tcPr>
          <w:p w14:paraId="27B3B136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主要知识产权：专利6_</w:t>
            </w:r>
            <w:r>
              <w:rPr>
                <w:rFonts w:hint="eastAsia" w:ascii="楷体_GB2312" w:hAnsi="仿宋" w:eastAsia="楷体_GB2312"/>
              </w:rPr>
              <w:t>一种变态反应科用新型抗花粉口罩</w:t>
            </w:r>
          </w:p>
        </w:tc>
      </w:tr>
      <w:tr w14:paraId="3B6997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6E7D0BA0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7</w:t>
            </w:r>
          </w:p>
        </w:tc>
        <w:tc>
          <w:tcPr>
            <w:tcW w:w="8166" w:type="dxa"/>
          </w:tcPr>
          <w:p w14:paraId="4E33FC79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主要知识产权：专利7</w:t>
            </w:r>
            <w:r>
              <w:rPr>
                <w:rFonts w:ascii="楷体_GB2312" w:hAnsi="仿宋" w:eastAsia="楷体_GB2312"/>
                <w:color w:val="000000"/>
              </w:rPr>
              <w:t>_</w:t>
            </w:r>
            <w:r>
              <w:rPr>
                <w:rFonts w:hint="eastAsia" w:ascii="楷体_GB2312" w:hAnsi="仿宋" w:eastAsia="楷体_GB2312"/>
                <w:color w:val="000000"/>
              </w:rPr>
              <w:t>一种注射器定位支架</w:t>
            </w:r>
          </w:p>
        </w:tc>
      </w:tr>
      <w:tr w14:paraId="30434D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5CF2931B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8</w:t>
            </w:r>
          </w:p>
        </w:tc>
        <w:tc>
          <w:tcPr>
            <w:tcW w:w="8166" w:type="dxa"/>
          </w:tcPr>
          <w:p w14:paraId="61024CA5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标准规范目录：1_中国变应性鼻炎诊断和治疗指南(2022 年，修订版)</w:t>
            </w:r>
          </w:p>
        </w:tc>
      </w:tr>
      <w:tr w14:paraId="37CBAC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21134936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9</w:t>
            </w:r>
          </w:p>
        </w:tc>
        <w:tc>
          <w:tcPr>
            <w:tcW w:w="8166" w:type="dxa"/>
          </w:tcPr>
          <w:p w14:paraId="7BEC6AD7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标准规范目录：2_儿童变应性鼻炎诊断和治疗指南(2022 年，修订版)</w:t>
            </w:r>
          </w:p>
        </w:tc>
      </w:tr>
      <w:tr w14:paraId="5C0E1A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1B9AD2C3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10</w:t>
            </w:r>
          </w:p>
        </w:tc>
        <w:tc>
          <w:tcPr>
            <w:tcW w:w="8166" w:type="dxa"/>
          </w:tcPr>
          <w:p w14:paraId="1D944454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论文目录：1_</w:t>
            </w:r>
            <w:r>
              <w:rPr>
                <w:rFonts w:hint="eastAsia" w:ascii="楷体_GB2312" w:eastAsia="楷体_GB2312"/>
                <w:color w:val="000000"/>
              </w:rPr>
              <w:t>Prevalence of pollen-induced allergic rhinitis with high pollen exposure in grasslands of northern China</w:t>
            </w:r>
          </w:p>
        </w:tc>
      </w:tr>
      <w:tr w14:paraId="4A4C8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242B5907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11</w:t>
            </w:r>
          </w:p>
        </w:tc>
        <w:tc>
          <w:tcPr>
            <w:tcW w:w="8166" w:type="dxa"/>
          </w:tcPr>
          <w:p w14:paraId="2E03291A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论文目录：2_</w:t>
            </w:r>
            <w:r>
              <w:rPr>
                <w:rFonts w:hint="eastAsia" w:ascii="楷体_GB2312" w:eastAsia="楷体_GB2312"/>
                <w:color w:val="000000"/>
              </w:rPr>
              <w:t>Identification of a 62-kDa major allergen from Artemisia pollen as a putative galactose oxidase</w:t>
            </w:r>
          </w:p>
        </w:tc>
      </w:tr>
      <w:tr w14:paraId="79CEF1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7636997F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12</w:t>
            </w:r>
          </w:p>
        </w:tc>
        <w:tc>
          <w:tcPr>
            <w:tcW w:w="8166" w:type="dxa"/>
          </w:tcPr>
          <w:p w14:paraId="27AB830A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论文目录：3_</w:t>
            </w:r>
            <w:r>
              <w:rPr>
                <w:rFonts w:hint="eastAsia" w:ascii="楷体_GB2312" w:eastAsia="楷体_GB2312"/>
                <w:color w:val="000000"/>
              </w:rPr>
              <w:t>Leukotriene A4 Hydrolase Is a Candidate Predictive Biomarker for Successful Allergen Immunotherapy</w:t>
            </w:r>
          </w:p>
        </w:tc>
      </w:tr>
      <w:tr w14:paraId="779C3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131A2190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13</w:t>
            </w:r>
          </w:p>
        </w:tc>
        <w:tc>
          <w:tcPr>
            <w:tcW w:w="8166" w:type="dxa"/>
          </w:tcPr>
          <w:p w14:paraId="6C864F47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论文目录：4_</w:t>
            </w:r>
            <w:r>
              <w:rPr>
                <w:rFonts w:hint="eastAsia" w:ascii="楷体_GB2312" w:eastAsia="楷体_GB2312"/>
                <w:color w:val="000000"/>
              </w:rPr>
              <w:t>Early transcriptomic profiling variation caused by cluster allergen immunotherapy</w:t>
            </w:r>
          </w:p>
        </w:tc>
      </w:tr>
      <w:tr w14:paraId="2A653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3F419A52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14</w:t>
            </w:r>
          </w:p>
        </w:tc>
        <w:tc>
          <w:tcPr>
            <w:tcW w:w="8166" w:type="dxa"/>
          </w:tcPr>
          <w:p w14:paraId="52C9FFC0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  <w:szCs w:val="21"/>
              </w:rPr>
              <w:t>著作_中国北方植物花粉调研——</w:t>
            </w:r>
            <w:r>
              <w:rPr>
                <w:rFonts w:hint="eastAsia" w:ascii="楷体_GB2312" w:hAnsi="仿宋" w:eastAsia="楷体_GB2312"/>
                <w:szCs w:val="21"/>
              </w:rPr>
              <w:t>花粉形态及花粉过敏疑难病例</w:t>
            </w:r>
          </w:p>
        </w:tc>
      </w:tr>
      <w:tr w14:paraId="132E16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08459D37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15</w:t>
            </w:r>
          </w:p>
        </w:tc>
        <w:tc>
          <w:tcPr>
            <w:tcW w:w="8166" w:type="dxa"/>
          </w:tcPr>
          <w:p w14:paraId="71ACF489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应用情况支撑材料目录：1_</w:t>
            </w:r>
            <w:bookmarkStart w:id="0" w:name="OLE_LINK78"/>
            <w:r>
              <w:rPr>
                <w:rFonts w:hint="eastAsia" w:ascii="楷体_GB2312" w:hAnsi="仿宋" w:eastAsia="楷体_GB2312"/>
                <w:color w:val="000000"/>
              </w:rPr>
              <w:t>内蒙古呼和浩特地区花粉过敏性疾病“五位一体”精准防控体系工作开展情况</w:t>
            </w:r>
            <w:bookmarkEnd w:id="0"/>
          </w:p>
        </w:tc>
      </w:tr>
      <w:tr w14:paraId="6B15CE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6A1DE673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16</w:t>
            </w:r>
          </w:p>
        </w:tc>
        <w:tc>
          <w:tcPr>
            <w:tcW w:w="8166" w:type="dxa"/>
          </w:tcPr>
          <w:p w14:paraId="181EA7BD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应用情况支撑材料目录：2_</w:t>
            </w:r>
            <w:bookmarkStart w:id="1" w:name="OLE_LINK79"/>
            <w:r>
              <w:rPr>
                <w:rFonts w:hint="eastAsia" w:ascii="楷体_GB2312" w:hAnsi="仿宋" w:eastAsia="楷体_GB2312"/>
                <w:color w:val="000000"/>
              </w:rPr>
              <w:t>内蒙古呼和浩特托克托县地区花粉过敏性疾病“五位一体”精准防控体系工作开展情况</w:t>
            </w:r>
            <w:bookmarkEnd w:id="1"/>
          </w:p>
        </w:tc>
      </w:tr>
      <w:tr w14:paraId="247AB9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3EB169EA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17</w:t>
            </w:r>
          </w:p>
        </w:tc>
        <w:tc>
          <w:tcPr>
            <w:tcW w:w="8166" w:type="dxa"/>
          </w:tcPr>
          <w:p w14:paraId="373918D7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应用情况支撑材料目录：3_内蒙古通辽地区花粉过敏性疾病“五位一体”精准防控体系工作开展情况</w:t>
            </w:r>
          </w:p>
        </w:tc>
      </w:tr>
      <w:tr w14:paraId="064F82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133DD623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18</w:t>
            </w:r>
          </w:p>
        </w:tc>
        <w:tc>
          <w:tcPr>
            <w:tcW w:w="8166" w:type="dxa"/>
          </w:tcPr>
          <w:p w14:paraId="464CAB2C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应用情况支撑材料目录：4_内蒙古自治区满洲里市花粉过敏性疾病“五位一体”精准防控体系工作开展情况</w:t>
            </w:r>
          </w:p>
        </w:tc>
      </w:tr>
      <w:tr w14:paraId="5A5B7F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334059AC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19</w:t>
            </w:r>
          </w:p>
        </w:tc>
        <w:tc>
          <w:tcPr>
            <w:tcW w:w="8166" w:type="dxa"/>
          </w:tcPr>
          <w:p w14:paraId="46BCF6F9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应用情况支撑材料目录：5_内蒙古锡林郭勒盟多伦县花粉过敏性疾病“五位一体”精准防控体系工作开展情况</w:t>
            </w:r>
          </w:p>
        </w:tc>
      </w:tr>
      <w:tr w14:paraId="14FF7E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03498BA4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20</w:t>
            </w:r>
          </w:p>
        </w:tc>
        <w:tc>
          <w:tcPr>
            <w:tcW w:w="8166" w:type="dxa"/>
          </w:tcPr>
          <w:p w14:paraId="377EC2AF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应用情况支撑材料目录：6_北京怀柔地区花粉过敏性疾病“五位一体”精准防控体系工作开展情况</w:t>
            </w:r>
          </w:p>
        </w:tc>
      </w:tr>
      <w:tr w14:paraId="1D6EC2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28A7DDCA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21</w:t>
            </w:r>
          </w:p>
        </w:tc>
        <w:tc>
          <w:tcPr>
            <w:tcW w:w="8166" w:type="dxa"/>
          </w:tcPr>
          <w:p w14:paraId="4AF4690C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应用情况支撑材料目录：7_</w:t>
            </w:r>
            <w:bookmarkStart w:id="2" w:name="OLE_LINK80"/>
            <w:r>
              <w:rPr>
                <w:rFonts w:hint="eastAsia" w:ascii="楷体_GB2312" w:hAnsi="仿宋" w:eastAsia="楷体_GB2312"/>
                <w:color w:val="000000"/>
              </w:rPr>
              <w:t>新疆乌鲁木齐地区花粉过敏性疾病“五位一体”精准防控体系工作开展情况</w:t>
            </w:r>
            <w:bookmarkEnd w:id="2"/>
          </w:p>
        </w:tc>
      </w:tr>
      <w:tr w14:paraId="6C559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3D3A036D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22</w:t>
            </w:r>
          </w:p>
        </w:tc>
        <w:tc>
          <w:tcPr>
            <w:tcW w:w="8166" w:type="dxa"/>
          </w:tcPr>
          <w:p w14:paraId="75A23EF1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应用情况支撑材料目录：8_</w:t>
            </w:r>
            <w:bookmarkStart w:id="3" w:name="OLE_LINK76"/>
            <w:r>
              <w:rPr>
                <w:rFonts w:hint="eastAsia" w:ascii="楷体_GB2312" w:hAnsi="仿宋" w:eastAsia="楷体_GB2312"/>
                <w:color w:val="000000"/>
              </w:rPr>
              <w:t>河北省邯郸地区花粉过敏性疾病“五位一体”精准防控体系工作开展情况</w:t>
            </w:r>
            <w:bookmarkEnd w:id="3"/>
          </w:p>
        </w:tc>
      </w:tr>
      <w:tr w14:paraId="3FE272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2A4D2DE6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23</w:t>
            </w:r>
          </w:p>
        </w:tc>
        <w:tc>
          <w:tcPr>
            <w:tcW w:w="8166" w:type="dxa"/>
          </w:tcPr>
          <w:p w14:paraId="6DE68753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应用情况支撑材料目录：9_河北省张北县地区花粉过敏性疾病“五位一体”精准防控体系工作开展情况</w:t>
            </w:r>
          </w:p>
        </w:tc>
      </w:tr>
      <w:tr w14:paraId="5DD729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6D5E527E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24</w:t>
            </w:r>
          </w:p>
        </w:tc>
        <w:tc>
          <w:tcPr>
            <w:tcW w:w="8166" w:type="dxa"/>
          </w:tcPr>
          <w:p w14:paraId="568F986B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应用情况支撑材料目录：10_</w:t>
            </w:r>
            <w:bookmarkStart w:id="4" w:name="OLE_LINK82"/>
            <w:r>
              <w:rPr>
                <w:rFonts w:hint="eastAsia" w:ascii="楷体_GB2312" w:hAnsi="仿宋" w:eastAsia="楷体_GB2312"/>
                <w:color w:val="000000"/>
              </w:rPr>
              <w:t>辽宁省辽阳市地区花粉过敏性疾病“五位一体”精准防控体系工作开展情况</w:t>
            </w:r>
            <w:bookmarkEnd w:id="4"/>
          </w:p>
        </w:tc>
      </w:tr>
      <w:tr w14:paraId="4AAE5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225BF071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25</w:t>
            </w:r>
          </w:p>
        </w:tc>
        <w:tc>
          <w:tcPr>
            <w:tcW w:w="8166" w:type="dxa"/>
          </w:tcPr>
          <w:p w14:paraId="3C23F658">
            <w:pPr>
              <w:pStyle w:val="4"/>
              <w:jc w:val="both"/>
              <w:rPr>
                <w:rFonts w:ascii="楷体_GB2312" w:hAnsi="仿宋" w:eastAsia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其他附件：专家成果鉴定评价</w:t>
            </w:r>
          </w:p>
        </w:tc>
      </w:tr>
      <w:tr w14:paraId="3FF9A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1D953B9C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26</w:t>
            </w:r>
          </w:p>
        </w:tc>
        <w:tc>
          <w:tcPr>
            <w:tcW w:w="8166" w:type="dxa"/>
          </w:tcPr>
          <w:p w14:paraId="011C912A">
            <w:pPr>
              <w:pStyle w:val="4"/>
              <w:jc w:val="both"/>
              <w:rPr>
                <w:rFonts w:ascii="楷体_GB2312" w:hAnsi="仿宋" w:eastAsia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其他附件：北京医学科技奖一等奖证书</w:t>
            </w:r>
          </w:p>
        </w:tc>
      </w:tr>
      <w:tr w14:paraId="6254C8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66D3ED43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27</w:t>
            </w:r>
          </w:p>
        </w:tc>
        <w:tc>
          <w:tcPr>
            <w:tcW w:w="8166" w:type="dxa"/>
          </w:tcPr>
          <w:p w14:paraId="6B421CB9">
            <w:pPr>
              <w:pStyle w:val="4"/>
              <w:jc w:val="both"/>
              <w:rPr>
                <w:rFonts w:ascii="楷体_GB2312" w:hAnsi="仿宋" w:eastAsia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其他附件：首都医科大学科学技术奖二等奖证书</w:t>
            </w:r>
          </w:p>
        </w:tc>
      </w:tr>
      <w:tr w14:paraId="1F9A1B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69AD7008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28</w:t>
            </w:r>
          </w:p>
        </w:tc>
        <w:tc>
          <w:tcPr>
            <w:tcW w:w="8166" w:type="dxa"/>
          </w:tcPr>
          <w:p w14:paraId="3DAFE2BC">
            <w:pPr>
              <w:pStyle w:val="4"/>
              <w:jc w:val="both"/>
              <w:rPr>
                <w:rFonts w:ascii="楷体_GB2312" w:hAnsi="仿宋" w:eastAsia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其他附件：2022年度TOP300指南/共识奖证书</w:t>
            </w:r>
          </w:p>
        </w:tc>
      </w:tr>
      <w:tr w14:paraId="31A8C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761D7867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29</w:t>
            </w:r>
          </w:p>
        </w:tc>
        <w:tc>
          <w:tcPr>
            <w:tcW w:w="8166" w:type="dxa"/>
          </w:tcPr>
          <w:p w14:paraId="63A0FA22">
            <w:pPr>
              <w:pStyle w:val="4"/>
              <w:jc w:val="both"/>
              <w:rPr>
                <w:rFonts w:ascii="楷体_GB2312" w:hAnsi="仿宋" w:eastAsia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其他附件：北京市科学技术奖二等奖证书</w:t>
            </w:r>
          </w:p>
        </w:tc>
      </w:tr>
      <w:tr w14:paraId="467162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33055744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30</w:t>
            </w:r>
          </w:p>
        </w:tc>
        <w:tc>
          <w:tcPr>
            <w:tcW w:w="8166" w:type="dxa"/>
          </w:tcPr>
          <w:p w14:paraId="6EF19F19">
            <w:pPr>
              <w:pStyle w:val="4"/>
              <w:jc w:val="both"/>
              <w:rPr>
                <w:rFonts w:ascii="楷体_GB2312" w:hAnsi="仿宋" w:eastAsia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其他附件：专利转化证明1-一种多功能眼镜防护套和一种变态反应用新型抗花粉口罩</w:t>
            </w:r>
          </w:p>
        </w:tc>
      </w:tr>
      <w:tr w14:paraId="320F0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06D4936B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31</w:t>
            </w:r>
          </w:p>
        </w:tc>
        <w:tc>
          <w:tcPr>
            <w:tcW w:w="8166" w:type="dxa"/>
          </w:tcPr>
          <w:p w14:paraId="24281DE1">
            <w:pPr>
              <w:pStyle w:val="4"/>
              <w:jc w:val="both"/>
              <w:rPr>
                <w:rFonts w:ascii="楷体_GB2312" w:hAnsi="仿宋" w:eastAsia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其他附件：专利转化证明2-一种花粉监测采样器和—种空气过敏原采样装置</w:t>
            </w:r>
          </w:p>
        </w:tc>
      </w:tr>
      <w:tr w14:paraId="57148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05C3D0BD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32</w:t>
            </w:r>
          </w:p>
        </w:tc>
        <w:tc>
          <w:tcPr>
            <w:tcW w:w="8166" w:type="dxa"/>
          </w:tcPr>
          <w:p w14:paraId="442B9589">
            <w:pPr>
              <w:pStyle w:val="4"/>
              <w:jc w:val="both"/>
              <w:rPr>
                <w:rFonts w:ascii="楷体_GB2312" w:hAnsi="仿宋" w:eastAsia="楷体_GB2312"/>
                <w:color w:val="000000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其他附件：项目组课题列表</w:t>
            </w:r>
          </w:p>
        </w:tc>
      </w:tr>
      <w:tr w14:paraId="3A2B3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4ACEF63B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33</w:t>
            </w:r>
          </w:p>
        </w:tc>
        <w:tc>
          <w:tcPr>
            <w:tcW w:w="8166" w:type="dxa"/>
          </w:tcPr>
          <w:p w14:paraId="00C900AA">
            <w:pPr>
              <w:pStyle w:val="4"/>
              <w:jc w:val="both"/>
              <w:rPr>
                <w:rFonts w:ascii="楷体_GB2312" w:hAnsi="仿宋" w:eastAsia="楷体_GB2312"/>
                <w:sz w:val="21"/>
                <w:szCs w:val="21"/>
              </w:rPr>
            </w:pPr>
            <w:r>
              <w:rPr>
                <w:rFonts w:hint="eastAsia" w:ascii="楷体_GB2312" w:hAnsi="仿宋" w:eastAsia="楷体_GB2312"/>
                <w:color w:val="000000"/>
                <w:szCs w:val="21"/>
              </w:rPr>
              <w:t>其他附件：第三方评价（论文）</w:t>
            </w:r>
          </w:p>
        </w:tc>
      </w:tr>
      <w:tr w14:paraId="3A92B0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278F9029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34</w:t>
            </w:r>
          </w:p>
        </w:tc>
        <w:tc>
          <w:tcPr>
            <w:tcW w:w="8166" w:type="dxa"/>
          </w:tcPr>
          <w:p w14:paraId="499A2BE4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其他附件：第三方评价（三位院士为专著《中国北方植物花粉调研》作序）</w:t>
            </w:r>
          </w:p>
        </w:tc>
      </w:tr>
      <w:tr w14:paraId="185507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287AD354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35</w:t>
            </w:r>
          </w:p>
        </w:tc>
        <w:tc>
          <w:tcPr>
            <w:tcW w:w="8166" w:type="dxa"/>
          </w:tcPr>
          <w:p w14:paraId="0B09F6FD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其他附件：政府文件1-呼和浩特市卫生健康委员会文件</w:t>
            </w:r>
          </w:p>
        </w:tc>
      </w:tr>
      <w:tr w14:paraId="246B8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1111618F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36</w:t>
            </w:r>
          </w:p>
        </w:tc>
        <w:tc>
          <w:tcPr>
            <w:tcW w:w="8166" w:type="dxa"/>
          </w:tcPr>
          <w:p w14:paraId="62D870C8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其他附件：政府文件2-辽阳市人民政府文件</w:t>
            </w:r>
          </w:p>
        </w:tc>
      </w:tr>
      <w:tr w14:paraId="75055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4D2380AB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37</w:t>
            </w:r>
          </w:p>
        </w:tc>
        <w:tc>
          <w:tcPr>
            <w:tcW w:w="8166" w:type="dxa"/>
          </w:tcPr>
          <w:p w14:paraId="660BFD68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其他附件：科普</w:t>
            </w:r>
          </w:p>
        </w:tc>
      </w:tr>
      <w:tr w14:paraId="3C56E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69F773FE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38</w:t>
            </w:r>
          </w:p>
        </w:tc>
        <w:tc>
          <w:tcPr>
            <w:tcW w:w="8166" w:type="dxa"/>
          </w:tcPr>
          <w:p w14:paraId="5529B6CE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  <w:szCs w:val="21"/>
              </w:rPr>
              <w:t>其他附件：“五位一体”世纪坛医院变态反应中心炼成记</w:t>
            </w:r>
          </w:p>
        </w:tc>
      </w:tr>
      <w:tr w14:paraId="4F808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6DDD7555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39</w:t>
            </w:r>
          </w:p>
        </w:tc>
        <w:tc>
          <w:tcPr>
            <w:tcW w:w="8166" w:type="dxa"/>
          </w:tcPr>
          <w:p w14:paraId="63EB2893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其他附件：国际交流</w:t>
            </w:r>
          </w:p>
        </w:tc>
      </w:tr>
      <w:tr w14:paraId="302AF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978" w:type="dxa"/>
          </w:tcPr>
          <w:p w14:paraId="101815BF">
            <w:pPr>
              <w:jc w:val="center"/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40</w:t>
            </w:r>
          </w:p>
        </w:tc>
        <w:tc>
          <w:tcPr>
            <w:tcW w:w="8166" w:type="dxa"/>
          </w:tcPr>
          <w:p w14:paraId="0706EFD2">
            <w:pPr>
              <w:rPr>
                <w:rFonts w:ascii="楷体_GB2312" w:hAnsi="仿宋" w:eastAsia="楷体_GB2312"/>
                <w:color w:val="000000"/>
              </w:rPr>
            </w:pPr>
            <w:r>
              <w:rPr>
                <w:rFonts w:hint="eastAsia" w:ascii="楷体_GB2312" w:hAnsi="仿宋" w:eastAsia="楷体_GB2312"/>
                <w:color w:val="000000"/>
              </w:rPr>
              <w:t>其他附件：论文收录引用证明</w:t>
            </w:r>
          </w:p>
        </w:tc>
      </w:tr>
    </w:tbl>
    <w:p w14:paraId="6E262FE2">
      <w:pPr>
        <w:adjustRightInd w:val="0"/>
        <w:snapToGrid w:val="0"/>
        <w:spacing w:before="100" w:beforeAutospacing="1" w:line="360" w:lineRule="auto"/>
        <w:rPr>
          <w:rFonts w:ascii="仿宋" w:hAnsi="仿宋" w:eastAsia="仿宋" w:cs="仿宋"/>
          <w:b/>
          <w:bCs/>
          <w:kern w:val="0"/>
          <w:sz w:val="24"/>
        </w:rPr>
      </w:pPr>
    </w:p>
    <w:p w14:paraId="22792090">
      <w:pPr>
        <w:adjustRightInd w:val="0"/>
        <w:snapToGrid w:val="0"/>
        <w:spacing w:line="360" w:lineRule="auto"/>
        <w:ind w:firstLine="420"/>
        <w:rPr>
          <w:rFonts w:ascii="仿宋" w:hAnsi="仿宋" w:eastAsia="仿宋" w:cs="仿宋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5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526"/>
    <w:rsid w:val="00104D35"/>
    <w:rsid w:val="0013776E"/>
    <w:rsid w:val="001417AB"/>
    <w:rsid w:val="00202F97"/>
    <w:rsid w:val="002136BF"/>
    <w:rsid w:val="00391546"/>
    <w:rsid w:val="003F1AC5"/>
    <w:rsid w:val="00495C8C"/>
    <w:rsid w:val="00673825"/>
    <w:rsid w:val="009D1894"/>
    <w:rsid w:val="00A40764"/>
    <w:rsid w:val="00C6741E"/>
    <w:rsid w:val="00C970D9"/>
    <w:rsid w:val="00CC1526"/>
    <w:rsid w:val="00DD4AAE"/>
    <w:rsid w:val="00E95CC2"/>
    <w:rsid w:val="00F41FD2"/>
    <w:rsid w:val="03256D0F"/>
    <w:rsid w:val="047944B1"/>
    <w:rsid w:val="04F84E97"/>
    <w:rsid w:val="0832489E"/>
    <w:rsid w:val="0FB94EC9"/>
    <w:rsid w:val="118D0015"/>
    <w:rsid w:val="1198185C"/>
    <w:rsid w:val="12F26322"/>
    <w:rsid w:val="17EC0737"/>
    <w:rsid w:val="1A135FD6"/>
    <w:rsid w:val="1F0A6DB2"/>
    <w:rsid w:val="2105211A"/>
    <w:rsid w:val="27AE0673"/>
    <w:rsid w:val="2A845B58"/>
    <w:rsid w:val="2A9E06F7"/>
    <w:rsid w:val="2B4242E8"/>
    <w:rsid w:val="2D3E57C8"/>
    <w:rsid w:val="31D10ACA"/>
    <w:rsid w:val="32B8003F"/>
    <w:rsid w:val="371B1861"/>
    <w:rsid w:val="3C7763B0"/>
    <w:rsid w:val="3CF0088C"/>
    <w:rsid w:val="3E024FDC"/>
    <w:rsid w:val="3EE86BA0"/>
    <w:rsid w:val="3EEE458E"/>
    <w:rsid w:val="45756335"/>
    <w:rsid w:val="45F76DD6"/>
    <w:rsid w:val="48763A80"/>
    <w:rsid w:val="4EC20C7A"/>
    <w:rsid w:val="50E101BE"/>
    <w:rsid w:val="52085A22"/>
    <w:rsid w:val="550C0424"/>
    <w:rsid w:val="570219CD"/>
    <w:rsid w:val="58894BBA"/>
    <w:rsid w:val="589866DF"/>
    <w:rsid w:val="592A660E"/>
    <w:rsid w:val="5CEC0D0A"/>
    <w:rsid w:val="5E226917"/>
    <w:rsid w:val="63A454EE"/>
    <w:rsid w:val="63F87992"/>
    <w:rsid w:val="65F037FA"/>
    <w:rsid w:val="68240AC2"/>
    <w:rsid w:val="6845643D"/>
    <w:rsid w:val="6BF426B0"/>
    <w:rsid w:val="6D351FB7"/>
    <w:rsid w:val="6E023555"/>
    <w:rsid w:val="71C00A80"/>
    <w:rsid w:val="75FF1DAA"/>
    <w:rsid w:val="7B0E4129"/>
    <w:rsid w:val="7C991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0"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  <w:szCs w:val="20"/>
    </w:rPr>
  </w:style>
  <w:style w:type="paragraph" w:styleId="5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HTML 预设格式 字符"/>
    <w:basedOn w:val="7"/>
    <w:link w:val="4"/>
    <w:qFormat/>
    <w:uiPriority w:val="99"/>
    <w:rPr>
      <w:rFonts w:ascii="黑体" w:hAnsi="Courier New" w:eastAsia="黑体" w:cs="Courier Ne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BJSJTH</Company>
  <Pages>5</Pages>
  <Words>2235</Words>
  <Characters>2656</Characters>
  <Lines>20</Lines>
  <Paragraphs>5</Paragraphs>
  <TotalTime>45</TotalTime>
  <ScaleCrop>false</ScaleCrop>
  <LinksUpToDate>false</LinksUpToDate>
  <CharactersWithSpaces>2778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2023-03-22T00:44:00Z</dcterms:created>
  <dc:creator>john</dc:creator>
  <cp:lastModifiedBy>COOL</cp:lastModifiedBy>
  <dcterms:modified xsi:type="dcterms:W3CDTF">2025-06-12T07:47:25Z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44F2702923C64B5AB3C221B23ED76C40</vt:lpwstr>
  </property>
  <property fmtid="{D5CDD505-2E9C-101B-9397-08002B2CF9AE}" pid="4" name="KSOTemplateDocerSaveRecord">
    <vt:lpwstr>eyJoZGlkIjoiZDYwMzgxNTRkNmUyMGZjMTQ0MTA1Y2RhZmFjN2EzYTEiLCJ1c2VySWQiOiI2NDUwNjU0NDgifQ==</vt:lpwstr>
  </property>
</Properties>
</file>